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67" w:rsidRDefault="00CB3B67" w:rsidP="009B5431">
      <w:pPr>
        <w:widowControl/>
        <w:autoSpaceDE/>
        <w:autoSpaceDN/>
        <w:adjustRightInd/>
        <w:rPr>
          <w:bCs/>
        </w:rPr>
      </w:pPr>
      <w:r w:rsidRPr="00CB3B67">
        <w:rPr>
          <w:noProof/>
          <w:sz w:val="32"/>
          <w:szCs w:val="32"/>
        </w:rPr>
        <w:drawing>
          <wp:anchor distT="0" distB="0" distL="114300" distR="114300" simplePos="0" relativeHeight="251658240" behindDoc="0" locked="0" layoutInCell="1" allowOverlap="1" wp14:anchorId="2D498F66">
            <wp:simplePos x="0" y="0"/>
            <wp:positionH relativeFrom="margin">
              <wp:align>left</wp:align>
            </wp:positionH>
            <wp:positionV relativeFrom="paragraph">
              <wp:posOffset>0</wp:posOffset>
            </wp:positionV>
            <wp:extent cx="335915" cy="438150"/>
            <wp:effectExtent l="0" t="0" r="6985" b="0"/>
            <wp:wrapSquare wrapText="bothSides"/>
            <wp:docPr id="4" name="Picture 2" descr="BucksShield20122-color">
              <a:extLst xmlns:a="http://schemas.openxmlformats.org/drawingml/2006/main">
                <a:ext uri="{FF2B5EF4-FFF2-40B4-BE49-F238E27FC236}">
                  <a16:creationId xmlns:a16="http://schemas.microsoft.com/office/drawing/2014/main" id="{F5CE644B-CDD9-4920-9E0E-62E2B8CBF0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BucksShield20122-color">
                      <a:extLst>
                        <a:ext uri="{FF2B5EF4-FFF2-40B4-BE49-F238E27FC236}">
                          <a16:creationId xmlns:a16="http://schemas.microsoft.com/office/drawing/2014/main" id="{F5CE644B-CDD9-4920-9E0E-62E2B8CBF0A6}"/>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449" cy="446207"/>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C6EDB">
        <w:rPr>
          <w:b/>
          <w:bCs/>
          <w:sz w:val="56"/>
          <w:szCs w:val="56"/>
        </w:rPr>
        <w:t>GUIDED STUDIES MAJOR</w:t>
      </w:r>
      <w:r w:rsidR="006A2198">
        <w:rPr>
          <w:b/>
          <w:bCs/>
          <w:sz w:val="56"/>
          <w:szCs w:val="56"/>
        </w:rPr>
        <w:t xml:space="preserve"> </w:t>
      </w:r>
      <w:r w:rsidR="002E66EC" w:rsidRPr="008C6EDB">
        <w:rPr>
          <w:bCs/>
        </w:rPr>
        <w:t xml:space="preserve"> </w:t>
      </w:r>
      <w:r w:rsidR="006A2198">
        <w:rPr>
          <w:noProof/>
        </w:rPr>
        <w:drawing>
          <wp:inline distT="0" distB="0" distL="0" distR="0" wp14:anchorId="0DEA64FB" wp14:editId="7430ACE6">
            <wp:extent cx="452369" cy="349844"/>
            <wp:effectExtent l="19050" t="57150" r="0" b="69850"/>
            <wp:docPr id="2" name="Picture 2" descr="C:\Users\grothc\AppData\Local\Microsoft\Windows\INetCache\Content.Word\New-Sign--Arvin61r58-300p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thc\AppData\Local\Microsoft\Windows\INetCache\Content.Word\New-Sign--Arvin61r58-300px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9722049">
                      <a:off x="0" y="0"/>
                      <a:ext cx="476364" cy="368401"/>
                    </a:xfrm>
                    <a:prstGeom prst="rect">
                      <a:avLst/>
                    </a:prstGeom>
                    <a:noFill/>
                    <a:ln>
                      <a:noFill/>
                    </a:ln>
                  </pic:spPr>
                </pic:pic>
              </a:graphicData>
            </a:graphic>
          </wp:inline>
        </w:drawing>
      </w:r>
    </w:p>
    <w:p w:rsidR="00CB3B67" w:rsidRPr="00E07BDD" w:rsidRDefault="002E66EC">
      <w:pPr>
        <w:widowControl/>
        <w:autoSpaceDE/>
        <w:autoSpaceDN/>
        <w:adjustRightInd/>
        <w:rPr>
          <w:bCs/>
          <w:sz w:val="23"/>
          <w:szCs w:val="23"/>
        </w:rPr>
      </w:pPr>
      <w:r w:rsidRPr="00E07BDD">
        <w:rPr>
          <w:rStyle w:val="normaltextrun"/>
          <w:sz w:val="23"/>
          <w:szCs w:val="23"/>
        </w:rPr>
        <w:t xml:space="preserve">The Guided Studies major </w:t>
      </w:r>
      <w:r w:rsidRPr="00E07BDD">
        <w:rPr>
          <w:rStyle w:val="normaltextrun"/>
          <w:b/>
          <w:i/>
          <w:sz w:val="23"/>
          <w:szCs w:val="23"/>
          <w:u w:val="single"/>
        </w:rPr>
        <w:t xml:space="preserve">is designed for students who </w:t>
      </w:r>
      <w:r w:rsidR="00A90A4C" w:rsidRPr="00E07BDD">
        <w:rPr>
          <w:rStyle w:val="normaltextrun"/>
          <w:b/>
          <w:i/>
          <w:sz w:val="23"/>
          <w:szCs w:val="23"/>
          <w:u w:val="single"/>
        </w:rPr>
        <w:t>are undecided about a major</w:t>
      </w:r>
      <w:r w:rsidR="00A90A4C" w:rsidRPr="00E07BDD">
        <w:rPr>
          <w:rStyle w:val="normaltextrun"/>
          <w:sz w:val="23"/>
          <w:szCs w:val="23"/>
        </w:rPr>
        <w:t xml:space="preserve"> and</w:t>
      </w:r>
      <w:r w:rsidRPr="00E07BDD">
        <w:rPr>
          <w:rStyle w:val="normaltextrun"/>
          <w:sz w:val="23"/>
          <w:szCs w:val="23"/>
        </w:rPr>
        <w:t xml:space="preserve"> </w:t>
      </w:r>
      <w:r w:rsidR="00A90A4C" w:rsidRPr="00E07BDD">
        <w:rPr>
          <w:rStyle w:val="normaltextrun"/>
          <w:sz w:val="23"/>
          <w:szCs w:val="23"/>
        </w:rPr>
        <w:t>wan</w:t>
      </w:r>
      <w:r w:rsidRPr="00E07BDD">
        <w:rPr>
          <w:rStyle w:val="normaltextrun"/>
          <w:sz w:val="23"/>
          <w:szCs w:val="23"/>
        </w:rPr>
        <w:t>t to explore possible majors while completing courses that meet requirements of an Associate degree at Bucks and/or earn</w:t>
      </w:r>
      <w:r w:rsidR="008F3BC2">
        <w:rPr>
          <w:rStyle w:val="normaltextrun"/>
          <w:sz w:val="23"/>
          <w:szCs w:val="23"/>
        </w:rPr>
        <w:t>ing</w:t>
      </w:r>
      <w:r w:rsidRPr="00E07BDD">
        <w:rPr>
          <w:rStyle w:val="normaltextrun"/>
          <w:sz w:val="23"/>
          <w:szCs w:val="23"/>
        </w:rPr>
        <w:t xml:space="preserve"> credits that transfer as requirements or electives at another institution.</w:t>
      </w:r>
      <w:r w:rsidR="00E07BDD" w:rsidRPr="00E07BDD">
        <w:rPr>
          <w:rStyle w:val="normaltextrun"/>
          <w:sz w:val="23"/>
          <w:szCs w:val="23"/>
        </w:rPr>
        <w:t xml:space="preserve"> </w:t>
      </w:r>
    </w:p>
    <w:p w:rsidR="00CB3B67" w:rsidRPr="00E07BDD" w:rsidRDefault="00CB3B67">
      <w:pPr>
        <w:widowControl/>
        <w:autoSpaceDE/>
        <w:autoSpaceDN/>
        <w:adjustRightInd/>
        <w:rPr>
          <w:bCs/>
          <w:sz w:val="23"/>
          <w:szCs w:val="23"/>
        </w:rPr>
      </w:pPr>
    </w:p>
    <w:p w:rsidR="00A90A4C" w:rsidRPr="00E07BDD" w:rsidRDefault="00A90A4C">
      <w:pPr>
        <w:widowControl/>
        <w:autoSpaceDE/>
        <w:autoSpaceDN/>
        <w:adjustRightInd/>
        <w:rPr>
          <w:b/>
          <w:bCs/>
          <w:sz w:val="23"/>
          <w:szCs w:val="23"/>
          <w:u w:val="single"/>
        </w:rPr>
      </w:pPr>
      <w:r w:rsidRPr="00E07BDD">
        <w:rPr>
          <w:b/>
          <w:bCs/>
          <w:sz w:val="23"/>
          <w:szCs w:val="23"/>
          <w:u w:val="single"/>
        </w:rPr>
        <w:t>THE GUIDED STUDIES CURRICULUM</w:t>
      </w:r>
    </w:p>
    <w:p w:rsidR="00A90A4C" w:rsidRPr="00E07BDD" w:rsidRDefault="00A90A4C">
      <w:pPr>
        <w:widowControl/>
        <w:autoSpaceDE/>
        <w:autoSpaceDN/>
        <w:adjustRightInd/>
        <w:rPr>
          <w:bCs/>
          <w:sz w:val="23"/>
          <w:szCs w:val="23"/>
        </w:rPr>
      </w:pPr>
    </w:p>
    <w:p w:rsidR="00A90A4C" w:rsidRPr="00FB2202" w:rsidRDefault="00A90A4C" w:rsidP="000B153B">
      <w:pPr>
        <w:pStyle w:val="ListParagraph"/>
        <w:widowControl/>
        <w:numPr>
          <w:ilvl w:val="0"/>
          <w:numId w:val="2"/>
        </w:numPr>
        <w:autoSpaceDE/>
        <w:autoSpaceDN/>
        <w:adjustRightInd/>
        <w:rPr>
          <w:bCs/>
          <w:sz w:val="23"/>
          <w:szCs w:val="23"/>
        </w:rPr>
      </w:pPr>
      <w:r w:rsidRPr="00FB2202">
        <w:rPr>
          <w:bCs/>
          <w:sz w:val="23"/>
          <w:szCs w:val="23"/>
        </w:rPr>
        <w:t xml:space="preserve">COLL101 College Success Seminar </w:t>
      </w:r>
      <w:r w:rsidR="00FB2202" w:rsidRPr="00FB2202">
        <w:rPr>
          <w:bCs/>
          <w:sz w:val="23"/>
          <w:szCs w:val="23"/>
        </w:rPr>
        <w:t xml:space="preserve">AND </w:t>
      </w:r>
      <w:r w:rsidR="007F0736" w:rsidRPr="00FB2202">
        <w:rPr>
          <w:bCs/>
          <w:sz w:val="23"/>
          <w:szCs w:val="23"/>
        </w:rPr>
        <w:t>GUID101 Introduction to Guided Studies</w:t>
      </w:r>
      <w:r w:rsidRPr="00FB2202">
        <w:rPr>
          <w:bCs/>
          <w:sz w:val="23"/>
          <w:szCs w:val="23"/>
        </w:rPr>
        <w:t xml:space="preserve"> (1 credit</w:t>
      </w:r>
      <w:r w:rsidR="00FB2202">
        <w:rPr>
          <w:bCs/>
          <w:sz w:val="23"/>
          <w:szCs w:val="23"/>
        </w:rPr>
        <w:t xml:space="preserve"> each</w:t>
      </w:r>
      <w:r w:rsidRPr="00FB2202">
        <w:rPr>
          <w:bCs/>
          <w:sz w:val="23"/>
          <w:szCs w:val="23"/>
        </w:rPr>
        <w:t xml:space="preserve">)—In </w:t>
      </w:r>
      <w:r w:rsidR="00FB2202">
        <w:rPr>
          <w:bCs/>
          <w:sz w:val="23"/>
          <w:szCs w:val="23"/>
        </w:rPr>
        <w:t>the new GUID101</w:t>
      </w:r>
      <w:r w:rsidRPr="00FB2202">
        <w:rPr>
          <w:bCs/>
          <w:sz w:val="23"/>
          <w:szCs w:val="23"/>
        </w:rPr>
        <w:t xml:space="preserve"> course, students develop </w:t>
      </w:r>
      <w:r w:rsidR="008C6EDB" w:rsidRPr="00FB2202">
        <w:rPr>
          <w:bCs/>
          <w:sz w:val="23"/>
          <w:szCs w:val="23"/>
        </w:rPr>
        <w:t>self-</w:t>
      </w:r>
      <w:r w:rsidRPr="00FB2202">
        <w:rPr>
          <w:bCs/>
          <w:sz w:val="23"/>
          <w:szCs w:val="23"/>
        </w:rPr>
        <w:t xml:space="preserve">awareness and </w:t>
      </w:r>
      <w:r w:rsidR="008C6EDB" w:rsidRPr="00FB2202">
        <w:rPr>
          <w:bCs/>
          <w:sz w:val="23"/>
          <w:szCs w:val="23"/>
        </w:rPr>
        <w:t xml:space="preserve">planning skills, identify </w:t>
      </w:r>
      <w:r w:rsidRPr="00FB2202">
        <w:rPr>
          <w:bCs/>
          <w:sz w:val="23"/>
          <w:szCs w:val="23"/>
        </w:rPr>
        <w:t xml:space="preserve">their interests, explore </w:t>
      </w:r>
      <w:r w:rsidR="008C6EDB" w:rsidRPr="00FB2202">
        <w:rPr>
          <w:bCs/>
          <w:sz w:val="23"/>
          <w:szCs w:val="23"/>
        </w:rPr>
        <w:t xml:space="preserve">relevant </w:t>
      </w:r>
      <w:r w:rsidRPr="00FB2202">
        <w:rPr>
          <w:bCs/>
          <w:sz w:val="23"/>
          <w:szCs w:val="23"/>
        </w:rPr>
        <w:t>educational and career opportunities, and plan their next steps.</w:t>
      </w:r>
    </w:p>
    <w:p w:rsidR="008C6EDB" w:rsidRPr="00E07BDD" w:rsidRDefault="008C6EDB" w:rsidP="008C6EDB">
      <w:pPr>
        <w:pStyle w:val="ListParagraph"/>
        <w:widowControl/>
        <w:autoSpaceDE/>
        <w:autoSpaceDN/>
        <w:adjustRightInd/>
        <w:rPr>
          <w:bCs/>
          <w:sz w:val="23"/>
          <w:szCs w:val="23"/>
        </w:rPr>
      </w:pPr>
    </w:p>
    <w:p w:rsidR="008C6EDB" w:rsidRPr="00E07BDD" w:rsidRDefault="007F0736" w:rsidP="008C6EDB">
      <w:pPr>
        <w:pStyle w:val="ListParagraph"/>
        <w:widowControl/>
        <w:numPr>
          <w:ilvl w:val="0"/>
          <w:numId w:val="2"/>
        </w:numPr>
        <w:autoSpaceDE/>
        <w:autoSpaceDN/>
        <w:adjustRightInd/>
        <w:rPr>
          <w:bCs/>
          <w:sz w:val="23"/>
          <w:szCs w:val="23"/>
        </w:rPr>
      </w:pPr>
      <w:r w:rsidRPr="00E07BDD">
        <w:rPr>
          <w:bCs/>
          <w:sz w:val="23"/>
          <w:szCs w:val="23"/>
        </w:rPr>
        <w:t>2 Concentrations, including 1 Gateway course and 3 Concentration Electives each, representing at least 8 non-overlapping courses (at least 24 credits in all)</w:t>
      </w:r>
      <w:r w:rsidR="008C6EDB" w:rsidRPr="00E07BDD">
        <w:rPr>
          <w:bCs/>
          <w:sz w:val="23"/>
          <w:szCs w:val="23"/>
        </w:rPr>
        <w:t xml:space="preserve">. </w:t>
      </w:r>
      <w:r w:rsidR="00C8114C">
        <w:rPr>
          <w:b/>
          <w:bCs/>
          <w:i/>
          <w:sz w:val="23"/>
          <w:szCs w:val="23"/>
        </w:rPr>
        <w:t xml:space="preserve">See page 2 </w:t>
      </w:r>
      <w:r w:rsidR="008C6EDB" w:rsidRPr="00E07BDD">
        <w:rPr>
          <w:b/>
          <w:bCs/>
          <w:i/>
          <w:sz w:val="23"/>
          <w:szCs w:val="23"/>
        </w:rPr>
        <w:t>for</w:t>
      </w:r>
      <w:r w:rsidR="00C8114C">
        <w:rPr>
          <w:b/>
          <w:bCs/>
          <w:i/>
          <w:sz w:val="23"/>
          <w:szCs w:val="23"/>
        </w:rPr>
        <w:t xml:space="preserve"> the list of</w:t>
      </w:r>
      <w:r w:rsidR="008C6EDB" w:rsidRPr="00E07BDD">
        <w:rPr>
          <w:b/>
          <w:bCs/>
          <w:i/>
          <w:sz w:val="23"/>
          <w:szCs w:val="23"/>
        </w:rPr>
        <w:t xml:space="preserve"> </w:t>
      </w:r>
      <w:r w:rsidR="00C8114C">
        <w:rPr>
          <w:b/>
          <w:bCs/>
          <w:i/>
          <w:sz w:val="23"/>
          <w:szCs w:val="23"/>
        </w:rPr>
        <w:t xml:space="preserve">the </w:t>
      </w:r>
      <w:r w:rsidR="008C6EDB" w:rsidRPr="00E07BDD">
        <w:rPr>
          <w:b/>
          <w:bCs/>
          <w:i/>
          <w:sz w:val="23"/>
          <w:szCs w:val="23"/>
        </w:rPr>
        <w:t>10 Guided Studies Concentrations</w:t>
      </w:r>
    </w:p>
    <w:p w:rsidR="008C6EDB" w:rsidRPr="00E07BDD" w:rsidRDefault="008C6EDB" w:rsidP="008C6EDB">
      <w:pPr>
        <w:pStyle w:val="ListParagraph"/>
        <w:rPr>
          <w:bCs/>
          <w:sz w:val="23"/>
          <w:szCs w:val="23"/>
        </w:rPr>
      </w:pPr>
    </w:p>
    <w:p w:rsidR="008C6EDB" w:rsidRPr="00E07BDD" w:rsidRDefault="008C6EDB" w:rsidP="008C6EDB">
      <w:pPr>
        <w:pStyle w:val="ListParagraph"/>
        <w:widowControl/>
        <w:numPr>
          <w:ilvl w:val="0"/>
          <w:numId w:val="2"/>
        </w:numPr>
        <w:autoSpaceDE/>
        <w:autoSpaceDN/>
        <w:adjustRightInd/>
        <w:rPr>
          <w:bCs/>
          <w:sz w:val="23"/>
          <w:szCs w:val="23"/>
        </w:rPr>
      </w:pPr>
      <w:r w:rsidRPr="00E07BDD">
        <w:rPr>
          <w:bCs/>
          <w:sz w:val="23"/>
          <w:szCs w:val="23"/>
        </w:rPr>
        <w:t xml:space="preserve">the </w:t>
      </w:r>
      <w:r w:rsidR="007F0736" w:rsidRPr="00E07BDD">
        <w:rPr>
          <w:bCs/>
          <w:sz w:val="23"/>
          <w:szCs w:val="23"/>
        </w:rPr>
        <w:t xml:space="preserve">General Education program </w:t>
      </w:r>
    </w:p>
    <w:p w:rsidR="008C6EDB" w:rsidRPr="00E07BDD" w:rsidRDefault="008C6EDB" w:rsidP="008C6EDB">
      <w:pPr>
        <w:pStyle w:val="ListParagraph"/>
        <w:rPr>
          <w:bCs/>
          <w:sz w:val="23"/>
          <w:szCs w:val="23"/>
        </w:rPr>
      </w:pPr>
    </w:p>
    <w:p w:rsidR="008C6EDB" w:rsidRPr="00E07BDD" w:rsidRDefault="008C6EDB" w:rsidP="008C6EDB">
      <w:pPr>
        <w:pStyle w:val="ListParagraph"/>
        <w:widowControl/>
        <w:numPr>
          <w:ilvl w:val="0"/>
          <w:numId w:val="2"/>
        </w:numPr>
        <w:autoSpaceDE/>
        <w:autoSpaceDN/>
        <w:adjustRightInd/>
        <w:rPr>
          <w:bCs/>
          <w:sz w:val="23"/>
          <w:szCs w:val="23"/>
        </w:rPr>
      </w:pPr>
      <w:r w:rsidRPr="00E07BDD">
        <w:rPr>
          <w:bCs/>
          <w:sz w:val="23"/>
          <w:szCs w:val="23"/>
        </w:rPr>
        <w:t xml:space="preserve">COMP110 </w:t>
      </w:r>
      <w:r w:rsidR="007F0736" w:rsidRPr="00E07BDD">
        <w:rPr>
          <w:bCs/>
          <w:sz w:val="23"/>
          <w:szCs w:val="23"/>
        </w:rPr>
        <w:t>English Composition I</w:t>
      </w:r>
    </w:p>
    <w:p w:rsidR="008C6EDB" w:rsidRPr="00E07BDD" w:rsidRDefault="008C6EDB" w:rsidP="008C6EDB">
      <w:pPr>
        <w:pStyle w:val="ListParagraph"/>
        <w:rPr>
          <w:bCs/>
          <w:sz w:val="23"/>
          <w:szCs w:val="23"/>
        </w:rPr>
      </w:pPr>
    </w:p>
    <w:p w:rsidR="008C6EDB" w:rsidRPr="00E07BDD" w:rsidRDefault="007F0736" w:rsidP="008C6EDB">
      <w:pPr>
        <w:pStyle w:val="ListParagraph"/>
        <w:widowControl/>
        <w:numPr>
          <w:ilvl w:val="0"/>
          <w:numId w:val="2"/>
        </w:numPr>
        <w:autoSpaceDE/>
        <w:autoSpaceDN/>
        <w:adjustRightInd/>
        <w:rPr>
          <w:bCs/>
          <w:sz w:val="23"/>
          <w:szCs w:val="23"/>
        </w:rPr>
      </w:pPr>
      <w:r w:rsidRPr="00E07BDD">
        <w:rPr>
          <w:bCs/>
          <w:sz w:val="23"/>
          <w:szCs w:val="23"/>
        </w:rPr>
        <w:t>an introductory computer information course</w:t>
      </w:r>
      <w:r w:rsidR="008C6EDB" w:rsidRPr="00E07BDD">
        <w:rPr>
          <w:bCs/>
          <w:sz w:val="23"/>
          <w:szCs w:val="23"/>
        </w:rPr>
        <w:t xml:space="preserve"> (CISC100 or CISC110)</w:t>
      </w:r>
    </w:p>
    <w:p w:rsidR="008C6EDB" w:rsidRPr="00E07BDD" w:rsidRDefault="008C6EDB" w:rsidP="008C6EDB">
      <w:pPr>
        <w:pStyle w:val="ListParagraph"/>
        <w:rPr>
          <w:bCs/>
          <w:sz w:val="23"/>
          <w:szCs w:val="23"/>
        </w:rPr>
      </w:pPr>
    </w:p>
    <w:p w:rsidR="008C6EDB" w:rsidRPr="00E07BDD" w:rsidRDefault="007F0736" w:rsidP="008C6EDB">
      <w:pPr>
        <w:pStyle w:val="ListParagraph"/>
        <w:widowControl/>
        <w:numPr>
          <w:ilvl w:val="0"/>
          <w:numId w:val="2"/>
        </w:numPr>
        <w:autoSpaceDE/>
        <w:autoSpaceDN/>
        <w:adjustRightInd/>
        <w:rPr>
          <w:bCs/>
          <w:sz w:val="23"/>
          <w:szCs w:val="23"/>
        </w:rPr>
      </w:pPr>
      <w:r w:rsidRPr="00E07BDD">
        <w:rPr>
          <w:bCs/>
          <w:sz w:val="23"/>
          <w:szCs w:val="23"/>
        </w:rPr>
        <w:t>a 2nd writing course</w:t>
      </w:r>
      <w:r w:rsidR="008C6EDB" w:rsidRPr="00E07BDD">
        <w:rPr>
          <w:bCs/>
          <w:sz w:val="23"/>
          <w:szCs w:val="23"/>
        </w:rPr>
        <w:t xml:space="preserve"> (COMP111 English Composition II, COMP114 Technical Writing, JOUR175 New Reporting and Writing, or MGMT135 Business Communication)</w:t>
      </w:r>
    </w:p>
    <w:p w:rsidR="008C6EDB" w:rsidRPr="00E07BDD" w:rsidRDefault="008C6EDB" w:rsidP="008C6EDB">
      <w:pPr>
        <w:pStyle w:val="ListParagraph"/>
        <w:rPr>
          <w:bCs/>
          <w:sz w:val="23"/>
          <w:szCs w:val="23"/>
        </w:rPr>
      </w:pPr>
    </w:p>
    <w:p w:rsidR="008C6EDB" w:rsidRPr="00E07BDD" w:rsidRDefault="007F0736" w:rsidP="008C6EDB">
      <w:pPr>
        <w:pStyle w:val="ListParagraph"/>
        <w:widowControl/>
        <w:numPr>
          <w:ilvl w:val="0"/>
          <w:numId w:val="2"/>
        </w:numPr>
        <w:autoSpaceDE/>
        <w:autoSpaceDN/>
        <w:adjustRightInd/>
        <w:rPr>
          <w:bCs/>
          <w:sz w:val="23"/>
          <w:szCs w:val="23"/>
        </w:rPr>
      </w:pPr>
      <w:r w:rsidRPr="00E07BDD">
        <w:rPr>
          <w:bCs/>
          <w:sz w:val="23"/>
          <w:szCs w:val="23"/>
        </w:rPr>
        <w:t>GUID250 Guided Studies Seminar (1 credit)</w:t>
      </w:r>
      <w:r w:rsidR="00B4373B" w:rsidRPr="00E07BDD">
        <w:rPr>
          <w:bCs/>
          <w:sz w:val="23"/>
          <w:szCs w:val="23"/>
        </w:rPr>
        <w:t>—Taken in the second half of the program, students refl</w:t>
      </w:r>
      <w:r w:rsidR="00BD1316" w:rsidRPr="00E07BDD">
        <w:rPr>
          <w:bCs/>
          <w:sz w:val="23"/>
          <w:szCs w:val="23"/>
        </w:rPr>
        <w:t>ect on their concentrations and plan the completion of the degree and their first steps after graduation.</w:t>
      </w:r>
    </w:p>
    <w:p w:rsidR="008C6EDB" w:rsidRPr="00E07BDD" w:rsidRDefault="008C6EDB" w:rsidP="008C6EDB">
      <w:pPr>
        <w:pStyle w:val="ListParagraph"/>
        <w:rPr>
          <w:bCs/>
          <w:sz w:val="23"/>
          <w:szCs w:val="23"/>
        </w:rPr>
      </w:pPr>
    </w:p>
    <w:p w:rsidR="008C6EDB" w:rsidRPr="00E07BDD" w:rsidRDefault="007F0736" w:rsidP="008C6EDB">
      <w:pPr>
        <w:pStyle w:val="ListParagraph"/>
        <w:widowControl/>
        <w:numPr>
          <w:ilvl w:val="0"/>
          <w:numId w:val="2"/>
        </w:numPr>
        <w:autoSpaceDE/>
        <w:autoSpaceDN/>
        <w:adjustRightInd/>
        <w:rPr>
          <w:bCs/>
          <w:sz w:val="23"/>
          <w:szCs w:val="23"/>
        </w:rPr>
      </w:pPr>
      <w:r w:rsidRPr="00E07BDD">
        <w:rPr>
          <w:bCs/>
          <w:sz w:val="23"/>
          <w:szCs w:val="23"/>
        </w:rPr>
        <w:t>electives to complete total credit requirements</w:t>
      </w:r>
    </w:p>
    <w:p w:rsidR="008C6EDB" w:rsidRPr="00E07BDD" w:rsidRDefault="008C6EDB" w:rsidP="008C6EDB">
      <w:pPr>
        <w:pStyle w:val="ListParagraph"/>
        <w:rPr>
          <w:bCs/>
          <w:sz w:val="23"/>
          <w:szCs w:val="23"/>
        </w:rPr>
      </w:pPr>
    </w:p>
    <w:p w:rsidR="00F16249" w:rsidRDefault="007F0736" w:rsidP="008C6EDB">
      <w:pPr>
        <w:pStyle w:val="ListParagraph"/>
        <w:widowControl/>
        <w:numPr>
          <w:ilvl w:val="0"/>
          <w:numId w:val="2"/>
        </w:numPr>
        <w:autoSpaceDE/>
        <w:autoSpaceDN/>
        <w:adjustRightInd/>
        <w:rPr>
          <w:bCs/>
          <w:sz w:val="23"/>
          <w:szCs w:val="23"/>
        </w:rPr>
      </w:pPr>
      <w:r w:rsidRPr="00E07BDD">
        <w:rPr>
          <w:bCs/>
          <w:sz w:val="23"/>
          <w:szCs w:val="23"/>
        </w:rPr>
        <w:t xml:space="preserve">LOTS of </w:t>
      </w:r>
      <w:r w:rsidR="00BD1316" w:rsidRPr="00E07BDD">
        <w:rPr>
          <w:bCs/>
          <w:sz w:val="23"/>
          <w:szCs w:val="23"/>
        </w:rPr>
        <w:t xml:space="preserve">support from </w:t>
      </w:r>
      <w:r w:rsidRPr="00E07BDD">
        <w:rPr>
          <w:bCs/>
          <w:sz w:val="23"/>
          <w:szCs w:val="23"/>
        </w:rPr>
        <w:t>educational planners, GUID101 faculty, faculty advisors, transfer advisors, and career services advising (some incorpor</w:t>
      </w:r>
      <w:r w:rsidR="00BD1316" w:rsidRPr="00E07BDD">
        <w:rPr>
          <w:bCs/>
          <w:sz w:val="23"/>
          <w:szCs w:val="23"/>
        </w:rPr>
        <w:t>ated into GUID101 and GUID250)</w:t>
      </w:r>
    </w:p>
    <w:p w:rsidR="00C8114C" w:rsidRPr="00C8114C" w:rsidRDefault="00C8114C" w:rsidP="00C8114C">
      <w:pPr>
        <w:pStyle w:val="ListParagraph"/>
        <w:rPr>
          <w:bCs/>
          <w:sz w:val="23"/>
          <w:szCs w:val="23"/>
        </w:rPr>
      </w:pPr>
    </w:p>
    <w:p w:rsidR="00C8114C" w:rsidRDefault="00C8114C" w:rsidP="00C8114C">
      <w:pPr>
        <w:widowControl/>
        <w:autoSpaceDE/>
        <w:autoSpaceDN/>
        <w:adjustRightInd/>
        <w:rPr>
          <w:bCs/>
          <w:sz w:val="23"/>
          <w:szCs w:val="23"/>
        </w:rPr>
      </w:pPr>
      <w:r>
        <w:rPr>
          <w:b/>
          <w:bCs/>
          <w:sz w:val="23"/>
          <w:szCs w:val="23"/>
        </w:rPr>
        <w:t>BENEFITS OF GUIDED STUDIES</w:t>
      </w:r>
    </w:p>
    <w:p w:rsidR="00C8114C" w:rsidRDefault="00C8114C" w:rsidP="00C8114C">
      <w:pPr>
        <w:pStyle w:val="ListParagraph"/>
        <w:widowControl/>
        <w:numPr>
          <w:ilvl w:val="0"/>
          <w:numId w:val="6"/>
        </w:numPr>
        <w:autoSpaceDE/>
        <w:autoSpaceDN/>
        <w:adjustRightInd/>
        <w:rPr>
          <w:bCs/>
          <w:sz w:val="23"/>
          <w:szCs w:val="23"/>
        </w:rPr>
      </w:pPr>
      <w:r>
        <w:rPr>
          <w:bCs/>
          <w:sz w:val="23"/>
          <w:szCs w:val="23"/>
        </w:rPr>
        <w:t>Based on research showing students do best when they begin studying fields that interest them right away (rather than taking all general education courses while waiting to decide).</w:t>
      </w:r>
    </w:p>
    <w:p w:rsidR="00747CB1" w:rsidRDefault="00747CB1" w:rsidP="00C8114C">
      <w:pPr>
        <w:pStyle w:val="ListParagraph"/>
        <w:widowControl/>
        <w:numPr>
          <w:ilvl w:val="0"/>
          <w:numId w:val="6"/>
        </w:numPr>
        <w:autoSpaceDE/>
        <w:autoSpaceDN/>
        <w:adjustRightInd/>
        <w:rPr>
          <w:bCs/>
          <w:sz w:val="23"/>
          <w:szCs w:val="23"/>
        </w:rPr>
      </w:pPr>
      <w:r>
        <w:rPr>
          <w:bCs/>
          <w:sz w:val="23"/>
          <w:szCs w:val="23"/>
        </w:rPr>
        <w:t>Concentration courses can be leveraged into Certificates (stackable credentials).</w:t>
      </w:r>
    </w:p>
    <w:p w:rsidR="00C8114C" w:rsidRDefault="00C8114C" w:rsidP="00C8114C">
      <w:pPr>
        <w:pStyle w:val="ListParagraph"/>
        <w:widowControl/>
        <w:numPr>
          <w:ilvl w:val="0"/>
          <w:numId w:val="6"/>
        </w:numPr>
        <w:autoSpaceDE/>
        <w:autoSpaceDN/>
        <w:adjustRightInd/>
        <w:rPr>
          <w:bCs/>
          <w:sz w:val="23"/>
          <w:szCs w:val="23"/>
        </w:rPr>
      </w:pPr>
      <w:r>
        <w:rPr>
          <w:bCs/>
          <w:sz w:val="23"/>
          <w:szCs w:val="23"/>
        </w:rPr>
        <w:t xml:space="preserve">A flexible program for students who desire an Associate degree, but </w:t>
      </w:r>
      <w:r w:rsidR="00640FA7">
        <w:rPr>
          <w:bCs/>
          <w:sz w:val="23"/>
          <w:szCs w:val="23"/>
        </w:rPr>
        <w:t xml:space="preserve">are not limited in their topic choices by job or </w:t>
      </w:r>
      <w:r w:rsidR="00747CB1">
        <w:rPr>
          <w:bCs/>
          <w:sz w:val="23"/>
          <w:szCs w:val="23"/>
        </w:rPr>
        <w:t>transfer plans.</w:t>
      </w:r>
    </w:p>
    <w:p w:rsidR="00C8114C" w:rsidRDefault="00747CB1" w:rsidP="00C8114C">
      <w:pPr>
        <w:pStyle w:val="ListParagraph"/>
        <w:widowControl/>
        <w:numPr>
          <w:ilvl w:val="0"/>
          <w:numId w:val="6"/>
        </w:numPr>
        <w:autoSpaceDE/>
        <w:autoSpaceDN/>
        <w:adjustRightInd/>
        <w:rPr>
          <w:bCs/>
          <w:sz w:val="23"/>
          <w:szCs w:val="23"/>
        </w:rPr>
      </w:pPr>
      <w:r>
        <w:rPr>
          <w:bCs/>
          <w:sz w:val="23"/>
          <w:szCs w:val="23"/>
        </w:rPr>
        <w:t xml:space="preserve">Can be used as a </w:t>
      </w:r>
      <w:r w:rsidR="00C8114C">
        <w:rPr>
          <w:bCs/>
          <w:sz w:val="23"/>
          <w:szCs w:val="23"/>
        </w:rPr>
        <w:t>degree completion program.</w:t>
      </w:r>
    </w:p>
    <w:p w:rsidR="00451C8B" w:rsidRDefault="00451C8B" w:rsidP="00451C8B">
      <w:pPr>
        <w:widowControl/>
        <w:autoSpaceDE/>
        <w:autoSpaceDN/>
        <w:adjustRightInd/>
        <w:rPr>
          <w:bCs/>
          <w:sz w:val="23"/>
          <w:szCs w:val="23"/>
        </w:rPr>
      </w:pPr>
    </w:p>
    <w:p w:rsidR="009B5431" w:rsidRDefault="00451C8B" w:rsidP="009B5431">
      <w:pPr>
        <w:widowControl/>
        <w:autoSpaceDE/>
        <w:autoSpaceDN/>
        <w:adjustRightInd/>
        <w:rPr>
          <w:b/>
          <w:bCs/>
          <w:i/>
          <w:sz w:val="23"/>
          <w:szCs w:val="23"/>
        </w:rPr>
      </w:pPr>
      <w:r w:rsidRPr="009B5431">
        <w:rPr>
          <w:b/>
          <w:bCs/>
          <w:i/>
          <w:sz w:val="23"/>
          <w:szCs w:val="23"/>
        </w:rPr>
        <w:t xml:space="preserve">INTERESTED? </w:t>
      </w:r>
    </w:p>
    <w:p w:rsidR="009B5431" w:rsidRDefault="009B5431" w:rsidP="009B5431">
      <w:pPr>
        <w:pStyle w:val="ListParagraph"/>
        <w:widowControl/>
        <w:numPr>
          <w:ilvl w:val="0"/>
          <w:numId w:val="8"/>
        </w:numPr>
        <w:autoSpaceDE/>
        <w:autoSpaceDN/>
        <w:adjustRightInd/>
        <w:rPr>
          <w:b/>
          <w:bCs/>
          <w:i/>
          <w:sz w:val="23"/>
          <w:szCs w:val="23"/>
        </w:rPr>
      </w:pPr>
      <w:r w:rsidRPr="009B5431">
        <w:rPr>
          <w:b/>
          <w:bCs/>
          <w:i/>
          <w:sz w:val="23"/>
          <w:szCs w:val="23"/>
        </w:rPr>
        <w:t>Contact the Department of Langu</w:t>
      </w:r>
      <w:r>
        <w:rPr>
          <w:b/>
          <w:bCs/>
          <w:i/>
          <w:sz w:val="23"/>
          <w:szCs w:val="23"/>
        </w:rPr>
        <w:t>age and Literature for details: 215-968-8150</w:t>
      </w:r>
      <w:r w:rsidR="00B25CEE">
        <w:rPr>
          <w:b/>
          <w:bCs/>
          <w:i/>
          <w:sz w:val="23"/>
          <w:szCs w:val="23"/>
        </w:rPr>
        <w:t xml:space="preserve"> </w:t>
      </w:r>
    </w:p>
    <w:p w:rsidR="00451C8B" w:rsidRPr="009B5431" w:rsidRDefault="009B5431" w:rsidP="009B5431">
      <w:pPr>
        <w:pStyle w:val="ListParagraph"/>
        <w:widowControl/>
        <w:numPr>
          <w:ilvl w:val="0"/>
          <w:numId w:val="8"/>
        </w:numPr>
        <w:autoSpaceDE/>
        <w:autoSpaceDN/>
        <w:adjustRightInd/>
        <w:rPr>
          <w:b/>
          <w:bCs/>
          <w:i/>
          <w:sz w:val="23"/>
          <w:szCs w:val="23"/>
        </w:rPr>
      </w:pPr>
      <w:r>
        <w:rPr>
          <w:b/>
          <w:bCs/>
          <w:i/>
          <w:sz w:val="23"/>
          <w:szCs w:val="23"/>
        </w:rPr>
        <w:t>T</w:t>
      </w:r>
      <w:r w:rsidR="005F223C" w:rsidRPr="009B5431">
        <w:rPr>
          <w:b/>
          <w:bCs/>
          <w:i/>
          <w:sz w:val="23"/>
          <w:szCs w:val="23"/>
        </w:rPr>
        <w:t>ell</w:t>
      </w:r>
      <w:r w:rsidR="00451C8B" w:rsidRPr="009B5431">
        <w:rPr>
          <w:b/>
          <w:bCs/>
          <w:i/>
          <w:sz w:val="23"/>
          <w:szCs w:val="23"/>
        </w:rPr>
        <w:t xml:space="preserve"> your Educational Planner you’re considering </w:t>
      </w:r>
      <w:r w:rsidR="005F223C" w:rsidRPr="009B5431">
        <w:rPr>
          <w:b/>
          <w:bCs/>
          <w:i/>
          <w:sz w:val="23"/>
          <w:szCs w:val="23"/>
        </w:rPr>
        <w:t>a</w:t>
      </w:r>
      <w:r w:rsidR="00451C8B" w:rsidRPr="009B5431">
        <w:rPr>
          <w:b/>
          <w:bCs/>
          <w:i/>
          <w:sz w:val="23"/>
          <w:szCs w:val="23"/>
        </w:rPr>
        <w:t xml:space="preserve"> Guided Studies Major!</w:t>
      </w:r>
    </w:p>
    <w:p w:rsidR="006A0821" w:rsidRPr="006A0821" w:rsidRDefault="00B25CEE" w:rsidP="00B604E4">
      <w:pPr>
        <w:rPr>
          <w:b/>
          <w:bCs/>
          <w:i/>
          <w:sz w:val="32"/>
          <w:szCs w:val="32"/>
        </w:rPr>
      </w:pPr>
      <w:r>
        <w:rPr>
          <w:b/>
          <w:bCs/>
          <w:i/>
          <w:sz w:val="32"/>
          <w:szCs w:val="32"/>
        </w:rPr>
        <w:br/>
      </w:r>
      <w:r>
        <w:rPr>
          <w:b/>
          <w:bCs/>
          <w:i/>
          <w:sz w:val="32"/>
          <w:szCs w:val="32"/>
        </w:rPr>
        <w:br/>
      </w:r>
      <w:r>
        <w:rPr>
          <w:b/>
          <w:bCs/>
          <w:i/>
          <w:sz w:val="32"/>
          <w:szCs w:val="32"/>
        </w:rPr>
        <w:br/>
      </w:r>
      <w:r w:rsidR="006A0821" w:rsidRPr="006A0821">
        <w:rPr>
          <w:b/>
          <w:bCs/>
          <w:i/>
          <w:sz w:val="32"/>
          <w:szCs w:val="32"/>
        </w:rPr>
        <w:t xml:space="preserve">10 GUIDED STUDIES CONCENTRATIONS: CHOOSE 2 </w:t>
      </w:r>
    </w:p>
    <w:p w:rsidR="006A0821" w:rsidRDefault="006A0821" w:rsidP="00B604E4">
      <w:pPr>
        <w:rPr>
          <w:b/>
          <w:bCs/>
          <w:sz w:val="23"/>
          <w:szCs w:val="23"/>
          <w:u w:val="single"/>
        </w:rPr>
      </w:pPr>
    </w:p>
    <w:p w:rsidR="00B604E4" w:rsidRPr="006A0821" w:rsidRDefault="00B604E4" w:rsidP="00B604E4">
      <w:pPr>
        <w:rPr>
          <w:sz w:val="23"/>
          <w:szCs w:val="23"/>
        </w:rPr>
      </w:pPr>
      <w:r w:rsidRPr="006A0821">
        <w:rPr>
          <w:b/>
          <w:bCs/>
          <w:sz w:val="23"/>
          <w:szCs w:val="23"/>
          <w:u w:val="single"/>
        </w:rPr>
        <w:t>Creativity and Aesthetics</w:t>
      </w:r>
      <w:r w:rsidR="00860271" w:rsidRPr="006A0821">
        <w:rPr>
          <w:b/>
          <w:bCs/>
          <w:sz w:val="23"/>
          <w:szCs w:val="23"/>
        </w:rPr>
        <w:t>:</w:t>
      </w:r>
      <w:r w:rsidR="00860271" w:rsidRPr="006A0821">
        <w:rPr>
          <w:bCs/>
          <w:sz w:val="23"/>
          <w:szCs w:val="23"/>
        </w:rPr>
        <w:t xml:space="preserve"> </w:t>
      </w:r>
      <w:r w:rsidR="00103EEE" w:rsidRPr="006A0821">
        <w:rPr>
          <w:sz w:val="23"/>
          <w:szCs w:val="23"/>
        </w:rPr>
        <w:t>Th</w:t>
      </w:r>
      <w:r w:rsidR="00860271" w:rsidRPr="006A0821">
        <w:rPr>
          <w:sz w:val="23"/>
          <w:szCs w:val="23"/>
        </w:rPr>
        <w:t>is</w:t>
      </w:r>
      <w:r w:rsidRPr="006A0821">
        <w:rPr>
          <w:sz w:val="23"/>
          <w:szCs w:val="23"/>
        </w:rPr>
        <w:t xml:space="preserve"> concentration includes subjects and disciplines related to studying and/or creating art, including but not limited to literature and other verbal arts, visual and decorative arts, music, performing arts, culinary arts, and architecture.</w:t>
      </w:r>
    </w:p>
    <w:p w:rsidR="00B604E4" w:rsidRPr="006A0821" w:rsidRDefault="00B604E4" w:rsidP="00B604E4">
      <w:pPr>
        <w:rPr>
          <w:sz w:val="23"/>
          <w:szCs w:val="23"/>
        </w:rPr>
      </w:pPr>
    </w:p>
    <w:p w:rsidR="00B604E4" w:rsidRPr="006A0821" w:rsidRDefault="00B604E4" w:rsidP="00860271">
      <w:pPr>
        <w:rPr>
          <w:sz w:val="23"/>
          <w:szCs w:val="23"/>
        </w:rPr>
      </w:pPr>
      <w:r w:rsidRPr="006A0821">
        <w:rPr>
          <w:b/>
          <w:bCs/>
          <w:sz w:val="23"/>
          <w:szCs w:val="23"/>
          <w:u w:val="single"/>
        </w:rPr>
        <w:t>Culture and Society</w:t>
      </w:r>
      <w:r w:rsidR="00860271" w:rsidRPr="006A0821">
        <w:rPr>
          <w:b/>
          <w:bCs/>
          <w:sz w:val="23"/>
          <w:szCs w:val="23"/>
        </w:rPr>
        <w:t>:</w:t>
      </w:r>
      <w:r w:rsidR="00860271" w:rsidRPr="006A0821">
        <w:rPr>
          <w:bCs/>
          <w:sz w:val="23"/>
          <w:szCs w:val="23"/>
        </w:rPr>
        <w:t xml:space="preserve"> This</w:t>
      </w:r>
      <w:r w:rsidRPr="006A0821">
        <w:rPr>
          <w:sz w:val="23"/>
          <w:szCs w:val="23"/>
        </w:rPr>
        <w:t xml:space="preserve"> concentration includes both qualitative and quantitative social sciences (e.g. geography, sociology, anthropology, psychology, political science, economics), as well as humanistic fields and disciplines that analyze human culture (e.g. religion, gender studies, cultural studies, history).</w:t>
      </w:r>
    </w:p>
    <w:p w:rsidR="00B604E4" w:rsidRPr="006A0821" w:rsidRDefault="00B604E4" w:rsidP="00B604E4">
      <w:pPr>
        <w:rPr>
          <w:sz w:val="23"/>
          <w:szCs w:val="23"/>
        </w:rPr>
      </w:pPr>
    </w:p>
    <w:p w:rsidR="00B604E4" w:rsidRPr="006A0821" w:rsidRDefault="00B604E4" w:rsidP="00B604E4">
      <w:pPr>
        <w:rPr>
          <w:sz w:val="23"/>
          <w:szCs w:val="23"/>
        </w:rPr>
      </w:pPr>
      <w:r w:rsidRPr="006A0821">
        <w:rPr>
          <w:b/>
          <w:bCs/>
          <w:sz w:val="23"/>
          <w:szCs w:val="23"/>
          <w:u w:val="single"/>
        </w:rPr>
        <w:t>Helping Professions and Public Service</w:t>
      </w:r>
      <w:r w:rsidR="00860271" w:rsidRPr="006A0821">
        <w:rPr>
          <w:b/>
          <w:bCs/>
          <w:sz w:val="23"/>
          <w:szCs w:val="23"/>
        </w:rPr>
        <w:t>:</w:t>
      </w:r>
      <w:r w:rsidR="00860271" w:rsidRPr="006A0821">
        <w:rPr>
          <w:bCs/>
          <w:sz w:val="23"/>
          <w:szCs w:val="23"/>
        </w:rPr>
        <w:t xml:space="preserve"> This </w:t>
      </w:r>
      <w:r w:rsidRPr="006A0821">
        <w:rPr>
          <w:sz w:val="23"/>
          <w:szCs w:val="23"/>
        </w:rPr>
        <w:t>concentration includes study related to what are commonly called the "helping professions," as well as other fields involving service in the public interest: education, psychology, social work, various therapies, fire science, and emergency management.</w:t>
      </w:r>
    </w:p>
    <w:p w:rsidR="00B604E4" w:rsidRPr="006A0821" w:rsidRDefault="00B604E4" w:rsidP="00B604E4">
      <w:pPr>
        <w:rPr>
          <w:sz w:val="23"/>
          <w:szCs w:val="23"/>
        </w:rPr>
      </w:pPr>
    </w:p>
    <w:p w:rsidR="00B604E4" w:rsidRPr="006A0821" w:rsidRDefault="00B604E4" w:rsidP="00B604E4">
      <w:pPr>
        <w:rPr>
          <w:sz w:val="23"/>
          <w:szCs w:val="23"/>
        </w:rPr>
      </w:pPr>
      <w:r w:rsidRPr="006A0821">
        <w:rPr>
          <w:b/>
          <w:bCs/>
          <w:sz w:val="23"/>
          <w:szCs w:val="23"/>
          <w:u w:val="single"/>
        </w:rPr>
        <w:t>Humanities</w:t>
      </w:r>
      <w:r w:rsidR="00860271" w:rsidRPr="006A0821">
        <w:rPr>
          <w:b/>
          <w:bCs/>
          <w:sz w:val="23"/>
          <w:szCs w:val="23"/>
        </w:rPr>
        <w:t>:</w:t>
      </w:r>
      <w:r w:rsidR="00860271" w:rsidRPr="006A0821">
        <w:rPr>
          <w:bCs/>
          <w:sz w:val="23"/>
          <w:szCs w:val="23"/>
        </w:rPr>
        <w:t xml:space="preserve"> This</w:t>
      </w:r>
      <w:r w:rsidRPr="006A0821">
        <w:rPr>
          <w:sz w:val="23"/>
          <w:szCs w:val="23"/>
        </w:rPr>
        <w:t xml:space="preserve"> concentration includes subjects and disciplines related to communications, speech, rhetoric, travel, philosophy, religion, history, architecture, cultural studies, gender studies, and languages.</w:t>
      </w:r>
    </w:p>
    <w:p w:rsidR="00B604E4" w:rsidRPr="006A0821" w:rsidRDefault="00B604E4" w:rsidP="00B604E4">
      <w:pPr>
        <w:rPr>
          <w:sz w:val="23"/>
          <w:szCs w:val="23"/>
        </w:rPr>
      </w:pPr>
    </w:p>
    <w:p w:rsidR="00B604E4" w:rsidRPr="006A0821" w:rsidRDefault="00B604E4" w:rsidP="00860271">
      <w:pPr>
        <w:rPr>
          <w:sz w:val="23"/>
          <w:szCs w:val="23"/>
        </w:rPr>
      </w:pPr>
      <w:r w:rsidRPr="006A0821">
        <w:rPr>
          <w:b/>
          <w:bCs/>
          <w:sz w:val="23"/>
          <w:szCs w:val="23"/>
          <w:u w:val="single"/>
        </w:rPr>
        <w:t>Management, Leadership, Entrepreneurship, and Business</w:t>
      </w:r>
      <w:r w:rsidR="00860271" w:rsidRPr="006A0821">
        <w:rPr>
          <w:b/>
          <w:bCs/>
          <w:sz w:val="23"/>
          <w:szCs w:val="23"/>
        </w:rPr>
        <w:t>:</w:t>
      </w:r>
      <w:r w:rsidR="00860271" w:rsidRPr="006A0821">
        <w:rPr>
          <w:bCs/>
          <w:sz w:val="23"/>
          <w:szCs w:val="23"/>
        </w:rPr>
        <w:t xml:space="preserve"> This</w:t>
      </w:r>
      <w:r w:rsidRPr="006A0821">
        <w:rPr>
          <w:sz w:val="23"/>
          <w:szCs w:val="23"/>
        </w:rPr>
        <w:t xml:space="preserve"> concentration includes subject areas related to leadership, government, for-profit and not-for-profit businesses, finance, and administration.</w:t>
      </w:r>
    </w:p>
    <w:p w:rsidR="00B604E4" w:rsidRPr="006A0821" w:rsidRDefault="00B604E4" w:rsidP="00B604E4">
      <w:pPr>
        <w:rPr>
          <w:sz w:val="23"/>
          <w:szCs w:val="23"/>
        </w:rPr>
      </w:pPr>
    </w:p>
    <w:p w:rsidR="00B604E4" w:rsidRPr="006A0821" w:rsidRDefault="00A239D0" w:rsidP="00860271">
      <w:pPr>
        <w:rPr>
          <w:sz w:val="23"/>
          <w:szCs w:val="23"/>
        </w:rPr>
      </w:pPr>
      <w:r w:rsidRPr="006A0821">
        <w:rPr>
          <w:b/>
          <w:bCs/>
          <w:sz w:val="23"/>
          <w:szCs w:val="23"/>
          <w:u w:val="single"/>
        </w:rPr>
        <w:t>M</w:t>
      </w:r>
      <w:r w:rsidR="00B604E4" w:rsidRPr="006A0821">
        <w:rPr>
          <w:b/>
          <w:bCs/>
          <w:sz w:val="23"/>
          <w:szCs w:val="23"/>
          <w:u w:val="single"/>
        </w:rPr>
        <w:t>edia and Technology</w:t>
      </w:r>
      <w:r w:rsidR="00860271" w:rsidRPr="006A0821">
        <w:rPr>
          <w:b/>
          <w:bCs/>
          <w:sz w:val="23"/>
          <w:szCs w:val="23"/>
        </w:rPr>
        <w:t>:</w:t>
      </w:r>
      <w:r w:rsidR="00860271" w:rsidRPr="006A0821">
        <w:rPr>
          <w:bCs/>
          <w:sz w:val="23"/>
          <w:szCs w:val="23"/>
        </w:rPr>
        <w:t xml:space="preserve"> This</w:t>
      </w:r>
      <w:r w:rsidR="00B604E4" w:rsidRPr="006A0821">
        <w:rPr>
          <w:sz w:val="23"/>
          <w:szCs w:val="23"/>
        </w:rPr>
        <w:t xml:space="preserve"> concentration includes telecommunications, electronic, and digital technologies, as well as the subject material commonly employing such technologies (e.g. social media, journalism, advertising, and cinema).</w:t>
      </w:r>
    </w:p>
    <w:p w:rsidR="00B604E4" w:rsidRPr="006A0821" w:rsidRDefault="00B604E4" w:rsidP="00B604E4">
      <w:pPr>
        <w:rPr>
          <w:sz w:val="23"/>
          <w:szCs w:val="23"/>
        </w:rPr>
      </w:pPr>
    </w:p>
    <w:p w:rsidR="00860271" w:rsidRPr="006A0821" w:rsidRDefault="00B604E4" w:rsidP="00860271">
      <w:pPr>
        <w:rPr>
          <w:sz w:val="23"/>
          <w:szCs w:val="23"/>
        </w:rPr>
      </w:pPr>
      <w:r w:rsidRPr="006A0821">
        <w:rPr>
          <w:b/>
          <w:bCs/>
          <w:sz w:val="23"/>
          <w:szCs w:val="23"/>
          <w:u w:val="single"/>
        </w:rPr>
        <w:t>Numbers, Engineering, and Computer Technology</w:t>
      </w:r>
      <w:r w:rsidR="00860271" w:rsidRPr="006A0821">
        <w:rPr>
          <w:b/>
          <w:bCs/>
          <w:sz w:val="23"/>
          <w:szCs w:val="23"/>
        </w:rPr>
        <w:t xml:space="preserve">: </w:t>
      </w:r>
      <w:r w:rsidR="00860271" w:rsidRPr="006A0821">
        <w:rPr>
          <w:sz w:val="23"/>
          <w:szCs w:val="23"/>
        </w:rPr>
        <w:t>This concentration includes disciplines and fields related to mathematics, accounting, computer software and hardware, and engineering.</w:t>
      </w:r>
    </w:p>
    <w:p w:rsidR="00B604E4" w:rsidRPr="006A0821" w:rsidRDefault="00B604E4" w:rsidP="00B604E4">
      <w:pPr>
        <w:rPr>
          <w:sz w:val="23"/>
          <w:szCs w:val="23"/>
        </w:rPr>
      </w:pPr>
      <w:r w:rsidRPr="006A0821">
        <w:rPr>
          <w:i/>
          <w:sz w:val="23"/>
          <w:szCs w:val="23"/>
          <w:u w:val="single"/>
        </w:rPr>
        <w:t>Please note</w:t>
      </w:r>
      <w:r w:rsidRPr="006A0821">
        <w:rPr>
          <w:i/>
          <w:sz w:val="23"/>
          <w:szCs w:val="23"/>
        </w:rPr>
        <w:t>:</w:t>
      </w:r>
      <w:r w:rsidRPr="006A0821">
        <w:rPr>
          <w:sz w:val="23"/>
          <w:szCs w:val="23"/>
        </w:rPr>
        <w:t xml:space="preserve"> because of the extended math sequencing in many of the areas within this Concentration, some students might need to begin this Concentration after taking one or more preliminary math courses.</w:t>
      </w:r>
    </w:p>
    <w:p w:rsidR="00B604E4" w:rsidRPr="006A0821" w:rsidRDefault="00B604E4" w:rsidP="00B604E4">
      <w:pPr>
        <w:rPr>
          <w:i/>
          <w:sz w:val="23"/>
          <w:szCs w:val="23"/>
        </w:rPr>
      </w:pPr>
    </w:p>
    <w:p w:rsidR="00B604E4" w:rsidRPr="006A0821" w:rsidRDefault="00B604E4" w:rsidP="00B604E4">
      <w:pPr>
        <w:rPr>
          <w:sz w:val="23"/>
          <w:szCs w:val="23"/>
        </w:rPr>
      </w:pPr>
      <w:r w:rsidRPr="006A0821">
        <w:rPr>
          <w:b/>
          <w:bCs/>
          <w:sz w:val="23"/>
          <w:szCs w:val="23"/>
          <w:u w:val="single"/>
        </w:rPr>
        <w:t>Science, Nature, and Health</w:t>
      </w:r>
      <w:r w:rsidR="00860271" w:rsidRPr="006A0821">
        <w:rPr>
          <w:b/>
          <w:bCs/>
          <w:sz w:val="23"/>
          <w:szCs w:val="23"/>
        </w:rPr>
        <w:t>:</w:t>
      </w:r>
      <w:r w:rsidR="00860271" w:rsidRPr="006A0821">
        <w:rPr>
          <w:bCs/>
          <w:sz w:val="23"/>
          <w:szCs w:val="23"/>
        </w:rPr>
        <w:t xml:space="preserve"> This </w:t>
      </w:r>
      <w:r w:rsidR="00860271" w:rsidRPr="006A0821">
        <w:rPr>
          <w:sz w:val="23"/>
          <w:szCs w:val="23"/>
        </w:rPr>
        <w:t xml:space="preserve">concentration includes disciplines and fields related to physical, natural, health, and environmental sciences; as well as professions anchored in such study, such as nursing, wellness, health information technology, and kinesiology. </w:t>
      </w:r>
      <w:r w:rsidRPr="006A0821">
        <w:rPr>
          <w:i/>
          <w:sz w:val="23"/>
          <w:szCs w:val="23"/>
          <w:u w:val="single"/>
        </w:rPr>
        <w:t>Please note</w:t>
      </w:r>
      <w:r w:rsidRPr="006A0821">
        <w:rPr>
          <w:i/>
          <w:sz w:val="23"/>
          <w:szCs w:val="23"/>
        </w:rPr>
        <w:t>:</w:t>
      </w:r>
      <w:r w:rsidRPr="006A0821">
        <w:rPr>
          <w:sz w:val="23"/>
          <w:szCs w:val="23"/>
        </w:rPr>
        <w:t xml:space="preserve"> This concentration is related to several majors </w:t>
      </w:r>
      <w:r w:rsidR="005958EA">
        <w:rPr>
          <w:sz w:val="23"/>
          <w:szCs w:val="23"/>
        </w:rPr>
        <w:t>containing</w:t>
      </w:r>
      <w:r w:rsidRPr="006A0821">
        <w:rPr>
          <w:sz w:val="23"/>
          <w:szCs w:val="23"/>
        </w:rPr>
        <w:t xml:space="preserve"> </w:t>
      </w:r>
      <w:r w:rsidR="005958EA">
        <w:rPr>
          <w:sz w:val="23"/>
          <w:szCs w:val="23"/>
        </w:rPr>
        <w:t>“</w:t>
      </w:r>
      <w:r w:rsidRPr="006A0821">
        <w:rPr>
          <w:sz w:val="23"/>
          <w:szCs w:val="23"/>
        </w:rPr>
        <w:t>fork courses</w:t>
      </w:r>
      <w:r w:rsidR="005958EA">
        <w:rPr>
          <w:sz w:val="23"/>
          <w:szCs w:val="23"/>
        </w:rPr>
        <w:t>”</w:t>
      </w:r>
      <w:r w:rsidRPr="006A0821">
        <w:rPr>
          <w:sz w:val="23"/>
          <w:szCs w:val="23"/>
        </w:rPr>
        <w:t xml:space="preserve"> (</w:t>
      </w:r>
      <w:r w:rsidR="00D568BF">
        <w:rPr>
          <w:sz w:val="23"/>
          <w:szCs w:val="23"/>
        </w:rPr>
        <w:t>similar but not interchangeable requirements</w:t>
      </w:r>
      <w:r w:rsidR="00DB6616">
        <w:rPr>
          <w:sz w:val="23"/>
          <w:szCs w:val="23"/>
        </w:rPr>
        <w:t xml:space="preserve"> that send one down a particular path</w:t>
      </w:r>
      <w:r w:rsidRPr="006A0821">
        <w:rPr>
          <w:sz w:val="23"/>
          <w:szCs w:val="23"/>
        </w:rPr>
        <w:t>), so students should be aware of requirements and prerequisites in potential programs of study.</w:t>
      </w:r>
    </w:p>
    <w:p w:rsidR="00322EE2" w:rsidRPr="006A0821" w:rsidRDefault="00322EE2" w:rsidP="00B604E4">
      <w:pPr>
        <w:rPr>
          <w:b/>
          <w:bCs/>
          <w:sz w:val="23"/>
          <w:szCs w:val="23"/>
          <w:u w:val="single"/>
        </w:rPr>
      </w:pPr>
    </w:p>
    <w:p w:rsidR="00B604E4" w:rsidRPr="006A0821" w:rsidRDefault="00B604E4" w:rsidP="00322EE2">
      <w:pPr>
        <w:rPr>
          <w:sz w:val="23"/>
          <w:szCs w:val="23"/>
        </w:rPr>
      </w:pPr>
      <w:r w:rsidRPr="006A0821">
        <w:rPr>
          <w:b/>
          <w:bCs/>
          <w:sz w:val="23"/>
          <w:szCs w:val="23"/>
          <w:u w:val="single"/>
        </w:rPr>
        <w:t>Service Industries</w:t>
      </w:r>
      <w:r w:rsidR="00322EE2" w:rsidRPr="006A0821">
        <w:rPr>
          <w:b/>
          <w:bCs/>
          <w:sz w:val="23"/>
          <w:szCs w:val="23"/>
        </w:rPr>
        <w:t>:</w:t>
      </w:r>
      <w:r w:rsidR="00322EE2" w:rsidRPr="006A0821">
        <w:rPr>
          <w:bCs/>
          <w:sz w:val="23"/>
          <w:szCs w:val="23"/>
        </w:rPr>
        <w:t xml:space="preserve"> This</w:t>
      </w:r>
      <w:r w:rsidRPr="006A0821">
        <w:rPr>
          <w:sz w:val="23"/>
          <w:szCs w:val="23"/>
        </w:rPr>
        <w:t xml:space="preserve"> concentration includes study related to what are commonly called the "service industries": e.g. food, hospitality, travel, finance, accounting, sports, information technology, wellness, and retail.</w:t>
      </w:r>
    </w:p>
    <w:p w:rsidR="00B604E4" w:rsidRPr="006A0821" w:rsidRDefault="00B604E4" w:rsidP="00B604E4">
      <w:pPr>
        <w:rPr>
          <w:sz w:val="23"/>
          <w:szCs w:val="23"/>
        </w:rPr>
      </w:pPr>
    </w:p>
    <w:p w:rsidR="00B25CEE" w:rsidRDefault="00B604E4" w:rsidP="00B25CEE">
      <w:pPr>
        <w:pStyle w:val="Footer"/>
      </w:pPr>
      <w:r w:rsidRPr="006A0821">
        <w:rPr>
          <w:b/>
          <w:bCs/>
          <w:sz w:val="23"/>
          <w:szCs w:val="23"/>
          <w:u w:val="single"/>
        </w:rPr>
        <w:t>Words, Texts, and Communication</w:t>
      </w:r>
      <w:r w:rsidR="00322EE2" w:rsidRPr="006A0821">
        <w:rPr>
          <w:b/>
          <w:bCs/>
          <w:sz w:val="23"/>
          <w:szCs w:val="23"/>
        </w:rPr>
        <w:t>:</w:t>
      </w:r>
      <w:r w:rsidR="00322EE2" w:rsidRPr="006A0821">
        <w:rPr>
          <w:bCs/>
          <w:sz w:val="23"/>
          <w:szCs w:val="23"/>
        </w:rPr>
        <w:t xml:space="preserve"> This</w:t>
      </w:r>
      <w:r w:rsidRPr="006A0821">
        <w:rPr>
          <w:sz w:val="23"/>
          <w:szCs w:val="23"/>
        </w:rPr>
        <w:t xml:space="preserve"> concentration includes disciplines and fields related to producing communicative informative texts, including speaking, writing, theater, office communication, research, and digital communication.</w:t>
      </w:r>
      <w:r w:rsidR="00B25CEE">
        <w:rPr>
          <w:sz w:val="23"/>
          <w:szCs w:val="23"/>
        </w:rPr>
        <w:br/>
      </w:r>
      <w:r w:rsidR="00B25CEE">
        <w:rPr>
          <w:sz w:val="23"/>
          <w:szCs w:val="23"/>
        </w:rPr>
        <w:br/>
      </w:r>
      <w:r w:rsidR="00B25CEE">
        <w:rPr>
          <w:sz w:val="23"/>
          <w:szCs w:val="23"/>
        </w:rPr>
        <w:br/>
      </w:r>
      <w:r w:rsidR="00B25CEE">
        <w:rPr>
          <w:sz w:val="23"/>
          <w:szCs w:val="23"/>
        </w:rPr>
        <w:br/>
      </w:r>
      <w:r w:rsidR="00B25CEE">
        <w:rPr>
          <w:sz w:val="23"/>
          <w:szCs w:val="23"/>
        </w:rPr>
        <w:br/>
      </w:r>
      <w:r w:rsidR="00B25CEE">
        <w:rPr>
          <w:sz w:val="23"/>
          <w:szCs w:val="23"/>
        </w:rPr>
        <w:br/>
      </w:r>
      <w:r w:rsidR="00B25CEE">
        <w:rPr>
          <w:sz w:val="23"/>
          <w:szCs w:val="23"/>
        </w:rPr>
        <w:br/>
      </w:r>
      <w:r w:rsidR="00B25CEE">
        <w:t xml:space="preserve">                                                          </w:t>
      </w:r>
      <w:r w:rsidR="00B25CEE">
        <w:t>Language &amp; Literature Department</w:t>
      </w:r>
      <w:r w:rsidR="00B25CEE">
        <w:br/>
      </w:r>
      <w:r w:rsidR="00B25CEE">
        <w:t xml:space="preserve">                                                                           </w:t>
      </w:r>
      <w:r w:rsidR="00B25CEE">
        <w:t>215-968-8150</w:t>
      </w:r>
    </w:p>
    <w:p w:rsidR="00B25CEE" w:rsidRDefault="00B25CEE" w:rsidP="00B25CEE">
      <w:pPr>
        <w:pStyle w:val="Footer"/>
        <w:jc w:val="center"/>
      </w:pPr>
      <w:hyperlink r:id="rId9" w:history="1">
        <w:r w:rsidRPr="00F055F1">
          <w:rPr>
            <w:rStyle w:val="Hyperlink"/>
          </w:rPr>
          <w:t>www.bucks.edu/lang-lit</w:t>
        </w:r>
      </w:hyperlink>
      <w:bookmarkStart w:id="0" w:name="_GoBack"/>
      <w:bookmarkEnd w:id="0"/>
    </w:p>
    <w:sectPr w:rsidR="00B25CEE" w:rsidSect="00B25CE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EE" w:rsidRDefault="00B25CEE" w:rsidP="00B25CEE">
      <w:r>
        <w:separator/>
      </w:r>
    </w:p>
  </w:endnote>
  <w:endnote w:type="continuationSeparator" w:id="0">
    <w:p w:rsidR="00B25CEE" w:rsidRDefault="00B25CEE" w:rsidP="00B2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EE" w:rsidRDefault="00B25CEE" w:rsidP="00B25CEE">
      <w:r>
        <w:separator/>
      </w:r>
    </w:p>
  </w:footnote>
  <w:footnote w:type="continuationSeparator" w:id="0">
    <w:p w:rsidR="00B25CEE" w:rsidRDefault="00B25CEE" w:rsidP="00B2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3C21"/>
    <w:multiLevelType w:val="hybridMultilevel"/>
    <w:tmpl w:val="1FD20FFC"/>
    <w:lvl w:ilvl="0" w:tplc="1F52F5A4">
      <w:start w:val="1"/>
      <w:numFmt w:val="bullet"/>
      <w:lvlText w:val=" "/>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6545E"/>
    <w:multiLevelType w:val="hybridMultilevel"/>
    <w:tmpl w:val="DBA281A0"/>
    <w:lvl w:ilvl="0" w:tplc="1F52F5A4">
      <w:start w:val="1"/>
      <w:numFmt w:val="bullet"/>
      <w:lvlText w:val=" "/>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A1D3A"/>
    <w:multiLevelType w:val="hybridMultilevel"/>
    <w:tmpl w:val="F5BA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81678"/>
    <w:multiLevelType w:val="hybridMultilevel"/>
    <w:tmpl w:val="7D56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300CF"/>
    <w:multiLevelType w:val="hybridMultilevel"/>
    <w:tmpl w:val="411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15759"/>
    <w:multiLevelType w:val="hybridMultilevel"/>
    <w:tmpl w:val="779AC0FA"/>
    <w:lvl w:ilvl="0" w:tplc="8334F8B6">
      <w:start w:val="1"/>
      <w:numFmt w:val="bullet"/>
      <w:lvlText w:val=" "/>
      <w:lvlJc w:val="left"/>
      <w:pPr>
        <w:tabs>
          <w:tab w:val="num" w:pos="720"/>
        </w:tabs>
        <w:ind w:left="720" w:hanging="360"/>
      </w:pPr>
      <w:rPr>
        <w:rFonts w:ascii="Times New Roman" w:hAnsi="Times New Roman" w:hint="default"/>
      </w:rPr>
    </w:lvl>
    <w:lvl w:ilvl="1" w:tplc="1F52F5A4">
      <w:start w:val="1"/>
      <w:numFmt w:val="bullet"/>
      <w:lvlText w:val=" "/>
      <w:lvlJc w:val="left"/>
      <w:pPr>
        <w:tabs>
          <w:tab w:val="num" w:pos="1440"/>
        </w:tabs>
        <w:ind w:left="1440" w:hanging="360"/>
      </w:pPr>
      <w:rPr>
        <w:rFonts w:ascii="Times New Roman" w:hAnsi="Times New Roman" w:hint="default"/>
      </w:rPr>
    </w:lvl>
    <w:lvl w:ilvl="2" w:tplc="50F08C14" w:tentative="1">
      <w:start w:val="1"/>
      <w:numFmt w:val="bullet"/>
      <w:lvlText w:val=" "/>
      <w:lvlJc w:val="left"/>
      <w:pPr>
        <w:tabs>
          <w:tab w:val="num" w:pos="2160"/>
        </w:tabs>
        <w:ind w:left="2160" w:hanging="360"/>
      </w:pPr>
      <w:rPr>
        <w:rFonts w:ascii="Times New Roman" w:hAnsi="Times New Roman" w:hint="default"/>
      </w:rPr>
    </w:lvl>
    <w:lvl w:ilvl="3" w:tplc="49DE33D8" w:tentative="1">
      <w:start w:val="1"/>
      <w:numFmt w:val="bullet"/>
      <w:lvlText w:val=" "/>
      <w:lvlJc w:val="left"/>
      <w:pPr>
        <w:tabs>
          <w:tab w:val="num" w:pos="2880"/>
        </w:tabs>
        <w:ind w:left="2880" w:hanging="360"/>
      </w:pPr>
      <w:rPr>
        <w:rFonts w:ascii="Times New Roman" w:hAnsi="Times New Roman" w:hint="default"/>
      </w:rPr>
    </w:lvl>
    <w:lvl w:ilvl="4" w:tplc="4ECC7FEA" w:tentative="1">
      <w:start w:val="1"/>
      <w:numFmt w:val="bullet"/>
      <w:lvlText w:val=" "/>
      <w:lvlJc w:val="left"/>
      <w:pPr>
        <w:tabs>
          <w:tab w:val="num" w:pos="3600"/>
        </w:tabs>
        <w:ind w:left="3600" w:hanging="360"/>
      </w:pPr>
      <w:rPr>
        <w:rFonts w:ascii="Times New Roman" w:hAnsi="Times New Roman" w:hint="default"/>
      </w:rPr>
    </w:lvl>
    <w:lvl w:ilvl="5" w:tplc="D8780FF0" w:tentative="1">
      <w:start w:val="1"/>
      <w:numFmt w:val="bullet"/>
      <w:lvlText w:val=" "/>
      <w:lvlJc w:val="left"/>
      <w:pPr>
        <w:tabs>
          <w:tab w:val="num" w:pos="4320"/>
        </w:tabs>
        <w:ind w:left="4320" w:hanging="360"/>
      </w:pPr>
      <w:rPr>
        <w:rFonts w:ascii="Times New Roman" w:hAnsi="Times New Roman" w:hint="default"/>
      </w:rPr>
    </w:lvl>
    <w:lvl w:ilvl="6" w:tplc="EF2606BC" w:tentative="1">
      <w:start w:val="1"/>
      <w:numFmt w:val="bullet"/>
      <w:lvlText w:val=" "/>
      <w:lvlJc w:val="left"/>
      <w:pPr>
        <w:tabs>
          <w:tab w:val="num" w:pos="5040"/>
        </w:tabs>
        <w:ind w:left="5040" w:hanging="360"/>
      </w:pPr>
      <w:rPr>
        <w:rFonts w:ascii="Times New Roman" w:hAnsi="Times New Roman" w:hint="default"/>
      </w:rPr>
    </w:lvl>
    <w:lvl w:ilvl="7" w:tplc="B3B4B79A" w:tentative="1">
      <w:start w:val="1"/>
      <w:numFmt w:val="bullet"/>
      <w:lvlText w:val=" "/>
      <w:lvlJc w:val="left"/>
      <w:pPr>
        <w:tabs>
          <w:tab w:val="num" w:pos="5760"/>
        </w:tabs>
        <w:ind w:left="5760" w:hanging="360"/>
      </w:pPr>
      <w:rPr>
        <w:rFonts w:ascii="Times New Roman" w:hAnsi="Times New Roman" w:hint="default"/>
      </w:rPr>
    </w:lvl>
    <w:lvl w:ilvl="8" w:tplc="332EC53A" w:tentative="1">
      <w:start w:val="1"/>
      <w:numFmt w:val="bullet"/>
      <w:lvlText w:val=" "/>
      <w:lvlJc w:val="left"/>
      <w:pPr>
        <w:tabs>
          <w:tab w:val="num" w:pos="6480"/>
        </w:tabs>
        <w:ind w:left="6480" w:hanging="360"/>
      </w:pPr>
      <w:rPr>
        <w:rFonts w:ascii="Times New Roman" w:hAnsi="Times New Roman" w:hint="default"/>
      </w:rPr>
    </w:lvl>
  </w:abstractNum>
  <w:abstractNum w:abstractNumId="6" w15:restartNumberingAfterBreak="0">
    <w:nsid w:val="4F3A34E3"/>
    <w:multiLevelType w:val="hybridMultilevel"/>
    <w:tmpl w:val="44FE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B3A22"/>
    <w:multiLevelType w:val="hybridMultilevel"/>
    <w:tmpl w:val="B99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E4"/>
    <w:rsid w:val="00053713"/>
    <w:rsid w:val="00103EEE"/>
    <w:rsid w:val="00140410"/>
    <w:rsid w:val="002E66EC"/>
    <w:rsid w:val="00322EE2"/>
    <w:rsid w:val="00451C8B"/>
    <w:rsid w:val="005958EA"/>
    <w:rsid w:val="005F10A4"/>
    <w:rsid w:val="005F223C"/>
    <w:rsid w:val="00640FA7"/>
    <w:rsid w:val="006A031C"/>
    <w:rsid w:val="006A0821"/>
    <w:rsid w:val="006A2198"/>
    <w:rsid w:val="006F3709"/>
    <w:rsid w:val="00746031"/>
    <w:rsid w:val="00747CB1"/>
    <w:rsid w:val="007F0736"/>
    <w:rsid w:val="00860271"/>
    <w:rsid w:val="008C6EDB"/>
    <w:rsid w:val="008F3BC2"/>
    <w:rsid w:val="009B5431"/>
    <w:rsid w:val="00A239D0"/>
    <w:rsid w:val="00A90A4C"/>
    <w:rsid w:val="00B25CEE"/>
    <w:rsid w:val="00B4373B"/>
    <w:rsid w:val="00B604E4"/>
    <w:rsid w:val="00BB3358"/>
    <w:rsid w:val="00BD1316"/>
    <w:rsid w:val="00BE35BE"/>
    <w:rsid w:val="00C8114C"/>
    <w:rsid w:val="00CB3B67"/>
    <w:rsid w:val="00D10024"/>
    <w:rsid w:val="00D568BF"/>
    <w:rsid w:val="00DB6616"/>
    <w:rsid w:val="00E03FE8"/>
    <w:rsid w:val="00E07BDD"/>
    <w:rsid w:val="00F16249"/>
    <w:rsid w:val="00FB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8E6FA"/>
  <w15:chartTrackingRefBased/>
  <w15:docId w15:val="{D5F1F9F6-1A81-424D-993C-C3F13F98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4E4"/>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E66EC"/>
  </w:style>
  <w:style w:type="paragraph" w:styleId="ListParagraph">
    <w:name w:val="List Paragraph"/>
    <w:basedOn w:val="Normal"/>
    <w:uiPriority w:val="34"/>
    <w:qFormat/>
    <w:rsid w:val="00A90A4C"/>
    <w:pPr>
      <w:ind w:left="720"/>
      <w:contextualSpacing/>
    </w:pPr>
  </w:style>
  <w:style w:type="paragraph" w:styleId="Header">
    <w:name w:val="header"/>
    <w:basedOn w:val="Normal"/>
    <w:link w:val="HeaderChar"/>
    <w:uiPriority w:val="99"/>
    <w:unhideWhenUsed/>
    <w:rsid w:val="00B25CEE"/>
    <w:pPr>
      <w:tabs>
        <w:tab w:val="center" w:pos="4680"/>
        <w:tab w:val="right" w:pos="9360"/>
      </w:tabs>
    </w:pPr>
  </w:style>
  <w:style w:type="character" w:customStyle="1" w:styleId="HeaderChar">
    <w:name w:val="Header Char"/>
    <w:basedOn w:val="DefaultParagraphFont"/>
    <w:link w:val="Header"/>
    <w:uiPriority w:val="99"/>
    <w:rsid w:val="00B25CEE"/>
    <w:rPr>
      <w:rFonts w:eastAsia="Times New Roman"/>
    </w:rPr>
  </w:style>
  <w:style w:type="paragraph" w:styleId="Footer">
    <w:name w:val="footer"/>
    <w:basedOn w:val="Normal"/>
    <w:link w:val="FooterChar"/>
    <w:uiPriority w:val="99"/>
    <w:unhideWhenUsed/>
    <w:rsid w:val="00B25CEE"/>
    <w:pPr>
      <w:tabs>
        <w:tab w:val="center" w:pos="4680"/>
        <w:tab w:val="right" w:pos="9360"/>
      </w:tabs>
    </w:pPr>
  </w:style>
  <w:style w:type="character" w:customStyle="1" w:styleId="FooterChar">
    <w:name w:val="Footer Char"/>
    <w:basedOn w:val="DefaultParagraphFont"/>
    <w:link w:val="Footer"/>
    <w:uiPriority w:val="99"/>
    <w:rsid w:val="00B25CEE"/>
    <w:rPr>
      <w:rFonts w:eastAsia="Times New Roman"/>
    </w:rPr>
  </w:style>
  <w:style w:type="character" w:styleId="Hyperlink">
    <w:name w:val="Hyperlink"/>
    <w:basedOn w:val="DefaultParagraphFont"/>
    <w:uiPriority w:val="99"/>
    <w:unhideWhenUsed/>
    <w:rsid w:val="00B25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36830">
      <w:bodyDiv w:val="1"/>
      <w:marLeft w:val="0"/>
      <w:marRight w:val="0"/>
      <w:marTop w:val="0"/>
      <w:marBottom w:val="0"/>
      <w:divBdr>
        <w:top w:val="none" w:sz="0" w:space="0" w:color="auto"/>
        <w:left w:val="none" w:sz="0" w:space="0" w:color="auto"/>
        <w:bottom w:val="none" w:sz="0" w:space="0" w:color="auto"/>
        <w:right w:val="none" w:sz="0" w:space="0" w:color="auto"/>
      </w:divBdr>
      <w:divsChild>
        <w:div w:id="1226333387">
          <w:marLeft w:val="648"/>
          <w:marRight w:val="0"/>
          <w:marTop w:val="40"/>
          <w:marBottom w:val="240"/>
          <w:divBdr>
            <w:top w:val="none" w:sz="0" w:space="0" w:color="auto"/>
            <w:left w:val="none" w:sz="0" w:space="0" w:color="auto"/>
            <w:bottom w:val="none" w:sz="0" w:space="0" w:color="auto"/>
            <w:right w:val="none" w:sz="0" w:space="0" w:color="auto"/>
          </w:divBdr>
        </w:div>
        <w:div w:id="441146820">
          <w:marLeft w:val="648"/>
          <w:marRight w:val="0"/>
          <w:marTop w:val="40"/>
          <w:marBottom w:val="240"/>
          <w:divBdr>
            <w:top w:val="none" w:sz="0" w:space="0" w:color="auto"/>
            <w:left w:val="none" w:sz="0" w:space="0" w:color="auto"/>
            <w:bottom w:val="none" w:sz="0" w:space="0" w:color="auto"/>
            <w:right w:val="none" w:sz="0" w:space="0" w:color="auto"/>
          </w:divBdr>
        </w:div>
        <w:div w:id="1138456921">
          <w:marLeft w:val="648"/>
          <w:marRight w:val="0"/>
          <w:marTop w:val="40"/>
          <w:marBottom w:val="240"/>
          <w:divBdr>
            <w:top w:val="none" w:sz="0" w:space="0" w:color="auto"/>
            <w:left w:val="none" w:sz="0" w:space="0" w:color="auto"/>
            <w:bottom w:val="none" w:sz="0" w:space="0" w:color="auto"/>
            <w:right w:val="none" w:sz="0" w:space="0" w:color="auto"/>
          </w:divBdr>
        </w:div>
        <w:div w:id="1446541048">
          <w:marLeft w:val="648"/>
          <w:marRight w:val="0"/>
          <w:marTop w:val="40"/>
          <w:marBottom w:val="240"/>
          <w:divBdr>
            <w:top w:val="none" w:sz="0" w:space="0" w:color="auto"/>
            <w:left w:val="none" w:sz="0" w:space="0" w:color="auto"/>
            <w:bottom w:val="none" w:sz="0" w:space="0" w:color="auto"/>
            <w:right w:val="none" w:sz="0" w:space="0" w:color="auto"/>
          </w:divBdr>
        </w:div>
        <w:div w:id="2007975569">
          <w:marLeft w:val="648"/>
          <w:marRight w:val="0"/>
          <w:marTop w:val="40"/>
          <w:marBottom w:val="240"/>
          <w:divBdr>
            <w:top w:val="none" w:sz="0" w:space="0" w:color="auto"/>
            <w:left w:val="none" w:sz="0" w:space="0" w:color="auto"/>
            <w:bottom w:val="none" w:sz="0" w:space="0" w:color="auto"/>
            <w:right w:val="none" w:sz="0" w:space="0" w:color="auto"/>
          </w:divBdr>
        </w:div>
        <w:div w:id="1528250000">
          <w:marLeft w:val="648"/>
          <w:marRight w:val="0"/>
          <w:marTop w:val="40"/>
          <w:marBottom w:val="240"/>
          <w:divBdr>
            <w:top w:val="none" w:sz="0" w:space="0" w:color="auto"/>
            <w:left w:val="none" w:sz="0" w:space="0" w:color="auto"/>
            <w:bottom w:val="none" w:sz="0" w:space="0" w:color="auto"/>
            <w:right w:val="none" w:sz="0" w:space="0" w:color="auto"/>
          </w:divBdr>
        </w:div>
        <w:div w:id="1387727581">
          <w:marLeft w:val="648"/>
          <w:marRight w:val="0"/>
          <w:marTop w:val="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cks.edu/lang-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Groth</dc:creator>
  <cp:keywords/>
  <dc:description/>
  <cp:lastModifiedBy>Nicole C. Tracey</cp:lastModifiedBy>
  <cp:revision>3</cp:revision>
  <dcterms:created xsi:type="dcterms:W3CDTF">2018-11-02T20:02:00Z</dcterms:created>
  <dcterms:modified xsi:type="dcterms:W3CDTF">2018-12-03T14:52:00Z</dcterms:modified>
</cp:coreProperties>
</file>