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426" w:rsidRPr="00CE2C6C" w:rsidRDefault="00DE6426" w:rsidP="00DE6426">
      <w:r w:rsidRPr="00CE2C6C">
        <w:t>Advisory Recommended Semester Sequence</w:t>
      </w:r>
    </w:p>
    <w:p w:rsidR="00DE6426" w:rsidRPr="00CE2C6C" w:rsidRDefault="00DE6426" w:rsidP="00DE6426"/>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b/>
                <w:bCs/>
              </w:rPr>
            </w:pPr>
            <w:r w:rsidRPr="00CE2C6C">
              <w:rPr>
                <w:rFonts w:ascii="Times New Roman" w:hAnsi="Times New Roman" w:cs="Times New Roman"/>
                <w:b/>
                <w:bCs/>
              </w:rPr>
              <w:t>SEMESTER 1</w:t>
            </w:r>
          </w:p>
        </w:tc>
        <w:tc>
          <w:tcPr>
            <w:tcW w:w="1525" w:type="dxa"/>
          </w:tcPr>
          <w:p w:rsidR="00DE6426" w:rsidRPr="00CE2C6C" w:rsidRDefault="00DE6426" w:rsidP="00D62416">
            <w:pPr>
              <w:jc w:val="center"/>
              <w:rPr>
                <w:rFonts w:ascii="Times New Roman" w:hAnsi="Times New Roman" w:cs="Times New Roman"/>
                <w:b/>
                <w:bCs/>
              </w:rPr>
            </w:pPr>
            <w:r w:rsidRPr="00CE2C6C">
              <w:rPr>
                <w:rFonts w:ascii="Times New Roman" w:hAnsi="Times New Roman" w:cs="Times New Roman"/>
                <w:b/>
                <w:bCs/>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COLL101 College Success Seminar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GUID101 Introduction to Guided Studies</w:t>
            </w:r>
            <w:r w:rsidRPr="00CE2C6C">
              <w:rPr>
                <w:rFonts w:ascii="Times New Roman" w:hAnsi="Times New Roman" w:cs="Times New Roman"/>
                <w:vertAlign w:val="superscript"/>
              </w:rPr>
              <w:t>B</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COMP110 English Composition </w:t>
            </w:r>
            <w:proofErr w:type="gramStart"/>
            <w:r w:rsidRPr="00CE2C6C">
              <w:rPr>
                <w:rFonts w:ascii="Times New Roman" w:hAnsi="Times New Roman" w:cs="Times New Roman"/>
              </w:rPr>
              <w:t>I</w:t>
            </w:r>
            <w:r w:rsidRPr="00CE2C6C">
              <w:rPr>
                <w:rFonts w:ascii="Times New Roman" w:hAnsi="Times New Roman" w:cs="Times New Roman"/>
                <w:vertAlign w:val="superscript"/>
              </w:rPr>
              <w:t>A,H</w:t>
            </w:r>
            <w:proofErr w:type="gramEnd"/>
            <w:r w:rsidRPr="00CE2C6C">
              <w:rPr>
                <w:rFonts w:ascii="Times New Roman" w:hAnsi="Times New Roman" w:cs="Times New Roman"/>
                <w:vertAlign w:val="superscript"/>
              </w:rPr>
              <w:t>,2,10</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A Gateway </w:t>
            </w:r>
            <w:proofErr w:type="gramStart"/>
            <w:r w:rsidRPr="00CE2C6C">
              <w:rPr>
                <w:rFonts w:ascii="Times New Roman" w:hAnsi="Times New Roman" w:cs="Times New Roman"/>
              </w:rPr>
              <w:t>Course</w:t>
            </w:r>
            <w:r w:rsidRPr="00CE2C6C">
              <w:rPr>
                <w:rFonts w:ascii="Times New Roman" w:hAnsi="Times New Roman" w:cs="Times New Roman"/>
                <w:vertAlign w:val="superscript"/>
              </w:rPr>
              <w:t>D,F</w:t>
            </w:r>
            <w:proofErr w:type="gramEnd"/>
            <w:r w:rsidRPr="00CE2C6C">
              <w:rPr>
                <w:rFonts w:ascii="Times New Roman" w:hAnsi="Times New Roman" w:cs="Times New Roman"/>
                <w:vertAlign w:val="superscript"/>
              </w:rPr>
              <w:t>,G,H</w:t>
            </w:r>
          </w:p>
          <w:p w:rsidR="00DE6426" w:rsidRPr="00CE2C6C" w:rsidRDefault="00DE6426" w:rsidP="00D62416">
            <w:pPr>
              <w:ind w:left="360"/>
              <w:rPr>
                <w:rFonts w:ascii="Times New Roman" w:hAnsi="Times New Roman" w:cs="Times New Roman"/>
              </w:rPr>
            </w:pPr>
            <w:r w:rsidRPr="00CE2C6C">
              <w:rPr>
                <w:rFonts w:ascii="Times New Roman" w:hAnsi="Times New Roman" w:cs="Times New Roman"/>
              </w:rPr>
              <w:t>Should be something the student is enthusiastic about and/or which will help the student clarify interests or make sequential progress in a Concentration or possible major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B Gateway </w:t>
            </w:r>
            <w:proofErr w:type="gramStart"/>
            <w:r w:rsidRPr="00CE2C6C">
              <w:rPr>
                <w:rFonts w:ascii="Times New Roman" w:hAnsi="Times New Roman" w:cs="Times New Roman"/>
              </w:rPr>
              <w:t>Course</w:t>
            </w:r>
            <w:r w:rsidRPr="00CE2C6C">
              <w:rPr>
                <w:rFonts w:ascii="Times New Roman" w:hAnsi="Times New Roman" w:cs="Times New Roman"/>
                <w:vertAlign w:val="superscript"/>
              </w:rPr>
              <w:t>D,F</w:t>
            </w:r>
            <w:proofErr w:type="gramEnd"/>
            <w:r w:rsidRPr="00CE2C6C">
              <w:rPr>
                <w:rFonts w:ascii="Times New Roman" w:hAnsi="Times New Roman" w:cs="Times New Roman"/>
                <w:vertAlign w:val="superscript"/>
              </w:rPr>
              <w:t>,G,H</w:t>
            </w:r>
          </w:p>
          <w:p w:rsidR="00DE6426" w:rsidRPr="00CE2C6C" w:rsidRDefault="00DE6426" w:rsidP="00D62416">
            <w:pPr>
              <w:ind w:left="360"/>
              <w:rPr>
                <w:rFonts w:ascii="Times New Roman" w:hAnsi="Times New Roman" w:cs="Times New Roman"/>
              </w:rPr>
            </w:pPr>
            <w:r w:rsidRPr="00CE2C6C">
              <w:rPr>
                <w:rFonts w:ascii="Times New Roman" w:hAnsi="Times New Roman" w:cs="Times New Roman"/>
              </w:rPr>
              <w:t>Should be something the student is enthusiastic about and/or which will help the student clarify interests or make sequential progress in a Concentration or possible major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w:t>
            </w:r>
            <w:proofErr w:type="gramStart"/>
            <w:r w:rsidRPr="00CE2C6C">
              <w:rPr>
                <w:rFonts w:ascii="Times New Roman" w:hAnsi="Times New Roman" w:cs="Times New Roman"/>
              </w:rPr>
              <w:t>A</w:t>
            </w:r>
            <w:proofErr w:type="gramEnd"/>
            <w:r w:rsidRPr="00CE2C6C">
              <w:rPr>
                <w:rFonts w:ascii="Times New Roman" w:hAnsi="Times New Roman" w:cs="Times New Roman"/>
              </w:rPr>
              <w:t xml:space="preserve"> Elective</w:t>
            </w:r>
          </w:p>
          <w:p w:rsidR="00DE6426" w:rsidRPr="00CE2C6C" w:rsidRDefault="00DE6426" w:rsidP="00D62416">
            <w:pPr>
              <w:ind w:left="360"/>
              <w:rPr>
                <w:rFonts w:ascii="Times New Roman" w:hAnsi="Times New Roman" w:cs="Times New Roman"/>
              </w:rPr>
            </w:pPr>
            <w:r w:rsidRPr="00CE2C6C">
              <w:rPr>
                <w:rFonts w:ascii="Times New Roman" w:hAnsi="Times New Roman" w:cs="Times New Roman"/>
              </w:rPr>
              <w:t>Should be something the student is enthusiastic about and/or which will help the student clarify interests or make sequential progress in a Concentration or possible major</w:t>
            </w:r>
          </w:p>
          <w:p w:rsidR="00DE6426" w:rsidRPr="00CE2C6C" w:rsidRDefault="00DE6426" w:rsidP="00D62416">
            <w:pPr>
              <w:rPr>
                <w:rFonts w:ascii="Times New Roman" w:hAnsi="Times New Roman" w:cs="Times New Roman"/>
              </w:rPr>
            </w:pPr>
            <w:r w:rsidRPr="00CE2C6C">
              <w:rPr>
                <w:rFonts w:ascii="Times New Roman" w:hAnsi="Times New Roman" w:cs="Times New Roman"/>
              </w:rPr>
              <w:t>OR a MATH course</w:t>
            </w:r>
          </w:p>
          <w:p w:rsidR="00DE6426" w:rsidRPr="00CE2C6C" w:rsidRDefault="00DE6426" w:rsidP="00DE6426">
            <w:pPr>
              <w:widowControl/>
              <w:numPr>
                <w:ilvl w:val="0"/>
                <w:numId w:val="3"/>
              </w:numPr>
              <w:autoSpaceDE/>
              <w:autoSpaceDN/>
              <w:adjustRightInd/>
              <w:rPr>
                <w:rFonts w:ascii="Times New Roman" w:hAnsi="Times New Roman" w:cs="Times New Roman"/>
              </w:rPr>
            </w:pPr>
            <w:r w:rsidRPr="00CE2C6C">
              <w:rPr>
                <w:rFonts w:ascii="Times New Roman" w:hAnsi="Times New Roman" w:cs="Times New Roman"/>
              </w:rPr>
              <w:t xml:space="preserve">A MATH course should be taken now if it’s relatively clear that the student is aiming for a Concentration </w:t>
            </w:r>
            <w:r w:rsidR="00A24AFB">
              <w:rPr>
                <w:rFonts w:ascii="Times New Roman" w:hAnsi="Times New Roman" w:cs="Times New Roman"/>
              </w:rPr>
              <w:t>requiring</w:t>
            </w:r>
            <w:r w:rsidRPr="00CE2C6C">
              <w:rPr>
                <w:rFonts w:ascii="Times New Roman" w:hAnsi="Times New Roman" w:cs="Times New Roman"/>
              </w:rPr>
              <w:t xml:space="preserve"> higher math (MATH120 or beyond). In such a case a student needing MATH103 would have a strong recommendation to take MATH103 AND not take all 4-credit courses for </w:t>
            </w:r>
            <w:r w:rsidR="001937FB">
              <w:rPr>
                <w:rFonts w:ascii="Times New Roman" w:hAnsi="Times New Roman" w:cs="Times New Roman"/>
              </w:rPr>
              <w:t>a</w:t>
            </w:r>
            <w:r w:rsidRPr="00CE2C6C">
              <w:rPr>
                <w:rFonts w:ascii="Times New Roman" w:hAnsi="Times New Roman" w:cs="Times New Roman"/>
              </w:rPr>
              <w:t xml:space="preserve"> 3</w:t>
            </w:r>
            <w:r w:rsidR="001937FB">
              <w:rPr>
                <w:rFonts w:ascii="Times New Roman" w:hAnsi="Times New Roman" w:cs="Times New Roman"/>
              </w:rPr>
              <w:t>rd Concentration course</w:t>
            </w:r>
            <w:r w:rsidRPr="00CE2C6C">
              <w:rPr>
                <w:rFonts w:ascii="Times New Roman" w:hAnsi="Times New Roman" w:cs="Times New Roman"/>
              </w:rPr>
              <w:t xml:space="preserve"> this semester.</w:t>
            </w:r>
          </w:p>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OR </w:t>
            </w:r>
            <w:r w:rsidR="001937FB">
              <w:rPr>
                <w:rFonts w:ascii="Times New Roman" w:hAnsi="Times New Roman" w:cs="Times New Roman"/>
              </w:rPr>
              <w:t>a developmental reading/writing course</w:t>
            </w:r>
          </w:p>
          <w:p w:rsidR="00DE6426" w:rsidRPr="00CE2C6C" w:rsidRDefault="00DE6426" w:rsidP="00DE6426">
            <w:pPr>
              <w:widowControl/>
              <w:numPr>
                <w:ilvl w:val="0"/>
                <w:numId w:val="3"/>
              </w:numPr>
              <w:autoSpaceDE/>
              <w:autoSpaceDN/>
              <w:adjustRightInd/>
              <w:rPr>
                <w:rFonts w:ascii="Times New Roman" w:hAnsi="Times New Roman" w:cs="Times New Roman"/>
              </w:rPr>
            </w:pPr>
            <w:r w:rsidRPr="00CE2C6C">
              <w:rPr>
                <w:rFonts w:ascii="Times New Roman" w:hAnsi="Times New Roman" w:cs="Times New Roman"/>
              </w:rPr>
              <w:t>Students with a Reading score of 2 should take READ110 OR COMP108, depending on Writing score. Students registering for READ110 are encouraged to take a paired section, if the paired course is also a Gateway course for a chosen Concentration</w:t>
            </w:r>
          </w:p>
          <w:p w:rsidR="00DE6426" w:rsidRPr="00CE2C6C" w:rsidRDefault="00DE6426" w:rsidP="00D62416">
            <w:pPr>
              <w:rPr>
                <w:rFonts w:ascii="Times New Roman" w:hAnsi="Times New Roman" w:cs="Times New Roman"/>
              </w:rPr>
            </w:pPr>
            <w:r w:rsidRPr="00CE2C6C">
              <w:rPr>
                <w:rFonts w:ascii="Times New Roman" w:hAnsi="Times New Roman" w:cs="Times New Roman"/>
              </w:rPr>
              <w:t>OR CISC100 or CISC110</w:t>
            </w:r>
            <w:bookmarkStart w:id="0" w:name="_GoBack"/>
            <w:bookmarkEnd w:id="0"/>
          </w:p>
          <w:p w:rsidR="00DE6426" w:rsidRPr="00CE2C6C" w:rsidRDefault="00DE6426" w:rsidP="00DE6426">
            <w:pPr>
              <w:pStyle w:val="ListParagraph"/>
              <w:numPr>
                <w:ilvl w:val="0"/>
                <w:numId w:val="7"/>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If the student is very tentative about both Concentrations or has limited computer knowledge, the student might choose to fulfill the Guided Studies Technological Competence course at this point.</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TOTAL</w:t>
            </w:r>
          </w:p>
        </w:tc>
        <w:tc>
          <w:tcPr>
            <w:tcW w:w="1525" w:type="dxa"/>
          </w:tcPr>
          <w:p w:rsidR="00DE6426" w:rsidRPr="00CE2C6C" w:rsidRDefault="00CE2C6C" w:rsidP="00D62416">
            <w:pPr>
              <w:jc w:val="center"/>
              <w:rPr>
                <w:rFonts w:ascii="Times New Roman" w:hAnsi="Times New Roman" w:cs="Times New Roman"/>
              </w:rPr>
            </w:pPr>
            <w:r>
              <w:rPr>
                <w:rFonts w:ascii="Times New Roman" w:hAnsi="Times New Roman" w:cs="Times New Roman"/>
              </w:rPr>
              <w:t>14-17</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**IN THE SECOND ½ OF THIS SEMESTER</w:t>
            </w:r>
          </w:p>
          <w:p w:rsidR="00DE6426" w:rsidRPr="00CE2C6C" w:rsidRDefault="00DE6426" w:rsidP="00DE6426">
            <w:pPr>
              <w:pStyle w:val="ListParagraph"/>
              <w:numPr>
                <w:ilvl w:val="0"/>
                <w:numId w:val="1"/>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Discuss major/concentration changes and career/transfer plans with advisor.</w:t>
            </w:r>
          </w:p>
          <w:p w:rsidR="00DE6426" w:rsidRPr="00CE2C6C" w:rsidRDefault="00DE6426" w:rsidP="00DE6426">
            <w:pPr>
              <w:pStyle w:val="ListParagraph"/>
              <w:numPr>
                <w:ilvl w:val="0"/>
                <w:numId w:val="1"/>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Visit Transfer and/or Career Services as appropriate.</w:t>
            </w:r>
          </w:p>
          <w:p w:rsidR="00DE6426" w:rsidRPr="00CE2C6C" w:rsidRDefault="00DE6426" w:rsidP="00DE6426">
            <w:pPr>
              <w:pStyle w:val="ListParagraph"/>
              <w:numPr>
                <w:ilvl w:val="0"/>
                <w:numId w:val="1"/>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Work on transfer applications as appropriate.</w:t>
            </w:r>
          </w:p>
        </w:tc>
        <w:tc>
          <w:tcPr>
            <w:tcW w:w="1525" w:type="dxa"/>
          </w:tcPr>
          <w:p w:rsidR="00DE6426" w:rsidRPr="00CE2C6C" w:rsidRDefault="00DE6426" w:rsidP="00D62416">
            <w:pPr>
              <w:jc w:val="center"/>
              <w:rPr>
                <w:rFonts w:ascii="Times New Roman" w:hAnsi="Times New Roman" w:cs="Times New Roman"/>
              </w:rPr>
            </w:pPr>
          </w:p>
        </w:tc>
      </w:tr>
    </w:tbl>
    <w:p w:rsidR="00DE6426" w:rsidRPr="00CE2C6C" w:rsidRDefault="00DE6426" w:rsidP="00DE6426">
      <w:pPr>
        <w:rPr>
          <w:b/>
          <w:bCs/>
        </w:rPr>
      </w:pPr>
      <w:r w:rsidRPr="00CE2C6C">
        <w:rPr>
          <w:b/>
          <w:bCs/>
        </w:rPr>
        <w:t>**IF APPROPRIATE, CHANGE MAJORS (AND GET ADVISOR FOR THE NEW MAJOR) TO MAKE PLANS FOR THE NEXT SEMESTER.</w:t>
      </w:r>
    </w:p>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b/>
                <w:bCs/>
              </w:rPr>
            </w:pPr>
            <w:r w:rsidRPr="00CE2C6C">
              <w:rPr>
                <w:rFonts w:ascii="Times New Roman" w:hAnsi="Times New Roman" w:cs="Times New Roman"/>
                <w:b/>
                <w:bCs/>
              </w:rPr>
              <w:t>1</w:t>
            </w:r>
            <w:r w:rsidRPr="00CE2C6C">
              <w:rPr>
                <w:rFonts w:ascii="Times New Roman" w:hAnsi="Times New Roman" w:cs="Times New Roman"/>
                <w:b/>
                <w:bCs/>
                <w:vertAlign w:val="superscript"/>
              </w:rPr>
              <w:t>ST</w:t>
            </w:r>
            <w:r w:rsidRPr="00CE2C6C">
              <w:rPr>
                <w:rFonts w:ascii="Times New Roman" w:hAnsi="Times New Roman" w:cs="Times New Roman"/>
                <w:b/>
                <w:bCs/>
              </w:rPr>
              <w:t xml:space="preserve"> WINTER</w:t>
            </w:r>
          </w:p>
        </w:tc>
        <w:tc>
          <w:tcPr>
            <w:tcW w:w="1525" w:type="dxa"/>
          </w:tcPr>
          <w:p w:rsidR="00DE6426" w:rsidRPr="00CE2C6C" w:rsidRDefault="00DE6426" w:rsidP="00D62416">
            <w:pPr>
              <w:jc w:val="center"/>
              <w:rPr>
                <w:rFonts w:ascii="Times New Roman" w:hAnsi="Times New Roman" w:cs="Times New Roman"/>
                <w:b/>
                <w:bCs/>
              </w:rPr>
            </w:pPr>
            <w:r w:rsidRPr="00CE2C6C">
              <w:rPr>
                <w:rFonts w:ascii="Times New Roman" w:hAnsi="Times New Roman" w:cs="Times New Roman"/>
                <w:b/>
                <w:bCs/>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Student should work independently or with Transfer or Career Services to clarify interests in majors, careers, and/or transfer schools, and complete </w:t>
            </w:r>
            <w:r w:rsidRPr="00CE2C6C">
              <w:rPr>
                <w:rFonts w:ascii="Times New Roman" w:hAnsi="Times New Roman" w:cs="Times New Roman"/>
              </w:rPr>
              <w:lastRenderedPageBreak/>
              <w:t>transfer applications as appropriate.</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lastRenderedPageBreak/>
              <w:t>0</w:t>
            </w: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b/>
                <w:bCs/>
              </w:rPr>
            </w:pPr>
            <w:r w:rsidRPr="00CE2C6C">
              <w:rPr>
                <w:rFonts w:ascii="Times New Roman" w:hAnsi="Times New Roman" w:cs="Times New Roman"/>
                <w:b/>
                <w:bCs/>
              </w:rPr>
              <w:t>1</w:t>
            </w:r>
            <w:r w:rsidRPr="00CE2C6C">
              <w:rPr>
                <w:rFonts w:ascii="Times New Roman" w:hAnsi="Times New Roman" w:cs="Times New Roman"/>
                <w:b/>
                <w:bCs/>
                <w:vertAlign w:val="superscript"/>
              </w:rPr>
              <w:t>ST</w:t>
            </w:r>
            <w:r w:rsidRPr="00CE2C6C">
              <w:rPr>
                <w:rFonts w:ascii="Times New Roman" w:hAnsi="Times New Roman" w:cs="Times New Roman"/>
                <w:b/>
                <w:bCs/>
              </w:rPr>
              <w:t xml:space="preserve"> SPRING BREAK</w:t>
            </w:r>
          </w:p>
        </w:tc>
        <w:tc>
          <w:tcPr>
            <w:tcW w:w="1525" w:type="dxa"/>
          </w:tcPr>
          <w:p w:rsidR="00DE6426" w:rsidRPr="00CE2C6C" w:rsidRDefault="00DE6426" w:rsidP="00D62416">
            <w:pPr>
              <w:jc w:val="center"/>
              <w:rPr>
                <w:rFonts w:ascii="Times New Roman" w:hAnsi="Times New Roman" w:cs="Times New Roman"/>
                <w:b/>
                <w:bCs/>
              </w:rPr>
            </w:pPr>
            <w:r w:rsidRPr="00CE2C6C">
              <w:rPr>
                <w:rFonts w:ascii="Times New Roman" w:hAnsi="Times New Roman" w:cs="Times New Roman"/>
                <w:b/>
                <w:bCs/>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Student should visit potential transfer schools, if planning to complete a 4-year degree or other non-Bucks program.</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0</w:t>
            </w: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b/>
                <w:bCs/>
              </w:rPr>
            </w:pPr>
            <w:r w:rsidRPr="00CE2C6C">
              <w:rPr>
                <w:rFonts w:ascii="Times New Roman" w:hAnsi="Times New Roman" w:cs="Times New Roman"/>
                <w:b/>
                <w:bCs/>
              </w:rPr>
              <w:t>SEMESTER 2</w:t>
            </w:r>
          </w:p>
        </w:tc>
        <w:tc>
          <w:tcPr>
            <w:tcW w:w="1525" w:type="dxa"/>
          </w:tcPr>
          <w:p w:rsidR="00DE6426" w:rsidRPr="00CE2C6C" w:rsidRDefault="00DE6426" w:rsidP="00D62416">
            <w:pPr>
              <w:jc w:val="center"/>
              <w:rPr>
                <w:rFonts w:ascii="Times New Roman" w:hAnsi="Times New Roman" w:cs="Times New Roman"/>
                <w:b/>
                <w:bCs/>
              </w:rPr>
            </w:pPr>
            <w:r w:rsidRPr="00CE2C6C">
              <w:rPr>
                <w:rFonts w:ascii="Times New Roman" w:hAnsi="Times New Roman" w:cs="Times New Roman"/>
                <w:b/>
                <w:bCs/>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A </w:t>
            </w:r>
            <w:proofErr w:type="gramStart"/>
            <w:r w:rsidRPr="00CE2C6C">
              <w:rPr>
                <w:rFonts w:ascii="Times New Roman" w:hAnsi="Times New Roman" w:cs="Times New Roman"/>
              </w:rPr>
              <w:t>Elective</w:t>
            </w:r>
            <w:r w:rsidRPr="00CE2C6C">
              <w:rPr>
                <w:rFonts w:ascii="Times New Roman" w:hAnsi="Times New Roman" w:cs="Times New Roman"/>
                <w:vertAlign w:val="superscript"/>
              </w:rPr>
              <w:t>E,F</w:t>
            </w:r>
            <w:proofErr w:type="gramEnd"/>
            <w:r w:rsidRPr="00CE2C6C">
              <w:rPr>
                <w:rFonts w:ascii="Times New Roman" w:hAnsi="Times New Roman" w:cs="Times New Roman"/>
                <w:vertAlign w:val="superscript"/>
              </w:rPr>
              <w:t>,H,K</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tabs>
                <w:tab w:val="left" w:pos="4950"/>
              </w:tabs>
              <w:rPr>
                <w:rFonts w:ascii="Times New Roman" w:hAnsi="Times New Roman" w:cs="Times New Roman"/>
              </w:rPr>
            </w:pPr>
            <w:r w:rsidRPr="00CE2C6C">
              <w:rPr>
                <w:rFonts w:ascii="Times New Roman" w:hAnsi="Times New Roman" w:cs="Times New Roman"/>
              </w:rPr>
              <w:t xml:space="preserve">Concentration B </w:t>
            </w:r>
            <w:proofErr w:type="gramStart"/>
            <w:r w:rsidRPr="00CE2C6C">
              <w:rPr>
                <w:rFonts w:ascii="Times New Roman" w:hAnsi="Times New Roman" w:cs="Times New Roman"/>
              </w:rPr>
              <w:t>Elective</w:t>
            </w:r>
            <w:r w:rsidRPr="00CE2C6C">
              <w:rPr>
                <w:rFonts w:ascii="Times New Roman" w:hAnsi="Times New Roman" w:cs="Times New Roman"/>
                <w:vertAlign w:val="superscript"/>
              </w:rPr>
              <w:t>E,F</w:t>
            </w:r>
            <w:proofErr w:type="gramEnd"/>
            <w:r w:rsidRPr="00CE2C6C">
              <w:rPr>
                <w:rFonts w:ascii="Times New Roman" w:hAnsi="Times New Roman" w:cs="Times New Roman"/>
                <w:vertAlign w:val="superscript"/>
              </w:rPr>
              <w:t>,H,K</w:t>
            </w:r>
            <w:r w:rsidRPr="00CE2C6C">
              <w:rPr>
                <w:rFonts w:ascii="Times New Roman" w:hAnsi="Times New Roman" w:cs="Times New Roman"/>
              </w:rPr>
              <w:tab/>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2</w:t>
            </w:r>
            <w:r w:rsidRPr="00CE2C6C">
              <w:rPr>
                <w:rFonts w:ascii="Times New Roman" w:hAnsi="Times New Roman" w:cs="Times New Roman"/>
                <w:vertAlign w:val="superscript"/>
              </w:rPr>
              <w:t>nd</w:t>
            </w:r>
            <w:r w:rsidRPr="00CE2C6C">
              <w:rPr>
                <w:rFonts w:ascii="Times New Roman" w:hAnsi="Times New Roman" w:cs="Times New Roman"/>
              </w:rPr>
              <w:t xml:space="preserve"> writing course or CISC100/CISC110</w:t>
            </w:r>
          </w:p>
          <w:p w:rsidR="00DE6426" w:rsidRPr="00CE2C6C" w:rsidRDefault="00DE6426" w:rsidP="00DE6426">
            <w:pPr>
              <w:pStyle w:val="ListParagraph"/>
              <w:numPr>
                <w:ilvl w:val="0"/>
                <w:numId w:val="6"/>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If student is likely to have a transfer major, take COMP111 now</w:t>
            </w:r>
          </w:p>
          <w:p w:rsidR="00DE6426" w:rsidRPr="00CE2C6C" w:rsidRDefault="00DE6426" w:rsidP="00DE6426">
            <w:pPr>
              <w:pStyle w:val="ListParagraph"/>
              <w:numPr>
                <w:ilvl w:val="0"/>
                <w:numId w:val="6"/>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Possibility of MGMT135, JOUR175, or COMP114 in place of COMP111 for certain majors and transfer schools</w:t>
            </w:r>
          </w:p>
          <w:p w:rsidR="00DE6426" w:rsidRPr="00CE2C6C" w:rsidRDefault="00DE6426" w:rsidP="00DE6426">
            <w:pPr>
              <w:widowControl/>
              <w:numPr>
                <w:ilvl w:val="0"/>
                <w:numId w:val="6"/>
              </w:numPr>
              <w:autoSpaceDE/>
              <w:autoSpaceDN/>
              <w:adjustRightInd/>
              <w:rPr>
                <w:rFonts w:ascii="Times New Roman" w:hAnsi="Times New Roman" w:cs="Times New Roman"/>
              </w:rPr>
            </w:pPr>
            <w:r w:rsidRPr="00CE2C6C">
              <w:rPr>
                <w:rFonts w:ascii="Times New Roman" w:hAnsi="Times New Roman" w:cs="Times New Roman"/>
              </w:rPr>
              <w:t xml:space="preserve">CISC100/CISC110 </w:t>
            </w:r>
          </w:p>
          <w:p w:rsidR="00DE6426" w:rsidRPr="00CE2C6C" w:rsidRDefault="00DE6426" w:rsidP="00DE6426">
            <w:pPr>
              <w:widowControl/>
              <w:numPr>
                <w:ilvl w:val="0"/>
                <w:numId w:val="6"/>
              </w:numPr>
              <w:autoSpaceDE/>
              <w:autoSpaceDN/>
              <w:adjustRightInd/>
              <w:rPr>
                <w:rFonts w:ascii="Times New Roman" w:hAnsi="Times New Roman" w:cs="Times New Roman"/>
              </w:rPr>
            </w:pPr>
            <w:r w:rsidRPr="00CE2C6C">
              <w:rPr>
                <w:rFonts w:ascii="Times New Roman" w:hAnsi="Times New Roman" w:cs="Times New Roman"/>
              </w:rPr>
              <w:t>If the student does not need one of the above, this slot should be used for a General Education requirement (or to catch up on sequencing).</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A sequenced course</w:t>
            </w:r>
          </w:p>
          <w:p w:rsidR="00DE6426" w:rsidRPr="00CE2C6C" w:rsidRDefault="00DE6426" w:rsidP="00DE6426">
            <w:pPr>
              <w:widowControl/>
              <w:numPr>
                <w:ilvl w:val="0"/>
                <w:numId w:val="5"/>
              </w:numPr>
              <w:autoSpaceDE/>
              <w:autoSpaceDN/>
              <w:adjustRightInd/>
              <w:rPr>
                <w:rFonts w:ascii="Times New Roman" w:hAnsi="Times New Roman" w:cs="Times New Roman"/>
              </w:rPr>
            </w:pPr>
            <w:r w:rsidRPr="00CE2C6C">
              <w:rPr>
                <w:rFonts w:ascii="Times New Roman" w:hAnsi="Times New Roman" w:cs="Times New Roman"/>
              </w:rPr>
              <w:t xml:space="preserve">This slot should be for courses that need careful sequencing, such as 1) the developmental-to-college-read math/writing sequence, 2) a world language sequence, or 3) a math/science sequence for students in a math/science-related Concentration. </w:t>
            </w:r>
          </w:p>
          <w:p w:rsidR="00DE6426" w:rsidRPr="00CE2C6C" w:rsidRDefault="00DE6426" w:rsidP="00DE6426">
            <w:pPr>
              <w:widowControl/>
              <w:numPr>
                <w:ilvl w:val="0"/>
                <w:numId w:val="5"/>
              </w:numPr>
              <w:autoSpaceDE/>
              <w:autoSpaceDN/>
              <w:adjustRightInd/>
              <w:rPr>
                <w:rFonts w:ascii="Times New Roman" w:hAnsi="Times New Roman" w:cs="Times New Roman"/>
              </w:rPr>
            </w:pPr>
            <w:r w:rsidRPr="00CE2C6C">
              <w:rPr>
                <w:rFonts w:ascii="Times New Roman" w:hAnsi="Times New Roman" w:cs="Times New Roman"/>
              </w:rPr>
              <w:t>If it is now clear which math fork the student should take and they did not already fulfill math requirements in the first semester, that can be taken now</w:t>
            </w:r>
          </w:p>
          <w:p w:rsidR="00DE6426" w:rsidRPr="00CE2C6C" w:rsidRDefault="00DE6426" w:rsidP="00DE6426">
            <w:pPr>
              <w:widowControl/>
              <w:numPr>
                <w:ilvl w:val="0"/>
                <w:numId w:val="5"/>
              </w:numPr>
              <w:autoSpaceDE/>
              <w:autoSpaceDN/>
              <w:adjustRightInd/>
              <w:rPr>
                <w:rFonts w:ascii="Times New Roman" w:hAnsi="Times New Roman" w:cs="Times New Roman"/>
              </w:rPr>
            </w:pPr>
            <w:r w:rsidRPr="00CE2C6C">
              <w:rPr>
                <w:rFonts w:ascii="Times New Roman" w:hAnsi="Times New Roman" w:cs="Times New Roman"/>
              </w:rPr>
              <w:t>If no sequenced course is needed and the student is still very unclear about a major (sticking with Guided Studies or choosing another), this slot should be filled with a Concentration Elective which will help the student choose a major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5</w:t>
            </w:r>
            <w:r w:rsidRPr="00CE2C6C">
              <w:rPr>
                <w:rFonts w:ascii="Times New Roman" w:hAnsi="Times New Roman" w:cs="Times New Roman"/>
                <w:vertAlign w:val="superscript"/>
              </w:rPr>
              <w:t>th</w:t>
            </w:r>
            <w:r w:rsidRPr="00CE2C6C">
              <w:rPr>
                <w:rFonts w:ascii="Times New Roman" w:hAnsi="Times New Roman" w:cs="Times New Roman"/>
              </w:rPr>
              <w:t xml:space="preserve"> course</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 xml:space="preserve">This course should probably be omitted if student has already </w:t>
            </w:r>
            <w:proofErr w:type="gramStart"/>
            <w:r w:rsidRPr="00CE2C6C">
              <w:rPr>
                <w:rFonts w:ascii="Times New Roman" w:hAnsi="Times New Roman" w:cs="Times New Roman"/>
              </w:rPr>
              <w:t>has</w:t>
            </w:r>
            <w:proofErr w:type="gramEnd"/>
            <w:r w:rsidRPr="00CE2C6C">
              <w:rPr>
                <w:rFonts w:ascii="Times New Roman" w:hAnsi="Times New Roman" w:cs="Times New Roman"/>
              </w:rPr>
              <w:t xml:space="preserve"> 4 4-credit courses planned.</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This course should be moved to the Summer term, if student’s work/study load suggests &lt;15 credits would more likely lead to success.</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In the case of a situation with considerable pre-requisite needs (e.g. aiming for a nursing or pharmacy program) AND the student does not already have 16 credits with the course slots above, this slot might be used for a science pre- or co-requisite.</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Otherwise, the student should take a Concentration Elective.</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TOTAL</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15-19</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**IN THE SECOND ½ OF THIS SEMESTER</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t>Discuss major/concentration changes with advisor—in particular, the student and advisor should examine progress within the Concentrations and developing student interests to see if the student should switch major or switch a concentration.</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lastRenderedPageBreak/>
              <w:t>Students who plan to graduate with a Guided Studies degree should, with the advisor, take stock of which courses the student still needs to take to complete 2 Concentrations (that is, at least 2 Gateway courses and at least 6 Concentration Electives such that both Concentrations are complete without any of these 8 courses overlapping).</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t>Student and advisor should also take stock of the student’s interests with respect to the General Education program. For example, if the student is likely to take any two-fers, they should consider whether the student wants to coordinate their free electives to make progress on a Certificate, dedicate time in the schedule to continue a world language, take courses to meet transfer school or potential major requirements, or simply take more free electives that respond to individual interests. On the other hand, if a student has taken all one-fers, the student and advisor will want to carefully plan the next two semesters to make sure that all General Education requirements, as well as Concentrations requirements, have been met.</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t>Visit Transfer and/or Career Services as appropriate.</w:t>
            </w:r>
          </w:p>
        </w:tc>
        <w:tc>
          <w:tcPr>
            <w:tcW w:w="1525" w:type="dxa"/>
          </w:tcPr>
          <w:p w:rsidR="00DE6426" w:rsidRPr="00CE2C6C" w:rsidRDefault="00DE6426" w:rsidP="00D62416">
            <w:pPr>
              <w:jc w:val="center"/>
              <w:rPr>
                <w:rFonts w:ascii="Times New Roman" w:hAnsi="Times New Roman" w:cs="Times New Roman"/>
              </w:rPr>
            </w:pPr>
          </w:p>
        </w:tc>
      </w:tr>
    </w:tbl>
    <w:p w:rsidR="00DE6426" w:rsidRPr="00CE2C6C" w:rsidRDefault="00DE6426" w:rsidP="00DE6426">
      <w:pPr>
        <w:rPr>
          <w:b/>
          <w:bCs/>
        </w:rPr>
      </w:pPr>
      <w:r w:rsidRPr="00CE2C6C">
        <w:rPr>
          <w:b/>
          <w:bCs/>
        </w:rPr>
        <w:t>**IF APPROPRIATE, CHANGE MAJORS (AND GET ADVISOR FOR THE NEW MAJOR) TO PLAN REGISTRATION FOR THE NEXT SEMESTER.</w:t>
      </w:r>
    </w:p>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1</w:t>
            </w:r>
            <w:r w:rsidRPr="00CE2C6C">
              <w:rPr>
                <w:rFonts w:ascii="Times New Roman" w:hAnsi="Times New Roman" w:cs="Times New Roman"/>
                <w:vertAlign w:val="superscript"/>
              </w:rPr>
              <w:t>ST</w:t>
            </w:r>
            <w:r w:rsidRPr="00CE2C6C">
              <w:rPr>
                <w:rFonts w:ascii="Times New Roman" w:hAnsi="Times New Roman" w:cs="Times New Roman"/>
              </w:rPr>
              <w:t xml:space="preserve"> SUMMER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If student took fewer than 30 credits in the first 2 semesters and wants to graduate within 2 years, the student should take the “optional” courses delayed from Semesters 1 and 2.</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0-8</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Student should visit potential transfer schools, if planning to complete a 4-year degree or other non-Bucks program, and, if necessary, work with an advisor to </w:t>
            </w:r>
            <w:proofErr w:type="gramStart"/>
            <w:r w:rsidRPr="00CE2C6C">
              <w:rPr>
                <w:rFonts w:ascii="Times New Roman" w:hAnsi="Times New Roman" w:cs="Times New Roman"/>
              </w:rPr>
              <w:t>make adjustments to</w:t>
            </w:r>
            <w:proofErr w:type="gramEnd"/>
            <w:r w:rsidRPr="00CE2C6C">
              <w:rPr>
                <w:rFonts w:ascii="Times New Roman" w:hAnsi="Times New Roman" w:cs="Times New Roman"/>
              </w:rPr>
              <w:t xml:space="preserve"> Semester 3 registrations.</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0</w:t>
            </w: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SEMESTER 3</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A </w:t>
            </w:r>
            <w:proofErr w:type="gramStart"/>
            <w:r w:rsidRPr="00CE2C6C">
              <w:rPr>
                <w:rFonts w:ascii="Times New Roman" w:hAnsi="Times New Roman" w:cs="Times New Roman"/>
              </w:rPr>
              <w:t>Elective</w:t>
            </w:r>
            <w:r w:rsidRPr="00CE2C6C">
              <w:rPr>
                <w:rFonts w:ascii="Times New Roman" w:hAnsi="Times New Roman" w:cs="Times New Roman"/>
                <w:vertAlign w:val="superscript"/>
              </w:rPr>
              <w:t>E,F</w:t>
            </w:r>
            <w:proofErr w:type="gramEnd"/>
            <w:r w:rsidRPr="00CE2C6C">
              <w:rPr>
                <w:rFonts w:ascii="Times New Roman" w:hAnsi="Times New Roman" w:cs="Times New Roman"/>
                <w:vertAlign w:val="superscript"/>
              </w:rPr>
              <w:t>,H,K</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 xml:space="preserve">Concentration B </w:t>
            </w:r>
            <w:proofErr w:type="gramStart"/>
            <w:r w:rsidRPr="00CE2C6C">
              <w:rPr>
                <w:rFonts w:ascii="Times New Roman" w:hAnsi="Times New Roman" w:cs="Times New Roman"/>
              </w:rPr>
              <w:t>Elective</w:t>
            </w:r>
            <w:r w:rsidRPr="00CE2C6C">
              <w:rPr>
                <w:rFonts w:ascii="Times New Roman" w:hAnsi="Times New Roman" w:cs="Times New Roman"/>
                <w:vertAlign w:val="superscript"/>
              </w:rPr>
              <w:t>E,F</w:t>
            </w:r>
            <w:proofErr w:type="gramEnd"/>
            <w:r w:rsidRPr="00CE2C6C">
              <w:rPr>
                <w:rFonts w:ascii="Times New Roman" w:hAnsi="Times New Roman" w:cs="Times New Roman"/>
                <w:vertAlign w:val="superscript"/>
              </w:rPr>
              <w:t>,H,K</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3-4</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General Education course—Oral Communication</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General Education course</w:t>
            </w:r>
            <w:r w:rsidRPr="00CE2C6C">
              <w:rPr>
                <w:rFonts w:ascii="Times New Roman" w:hAnsi="Times New Roman" w:cs="Times New Roman"/>
                <w:vertAlign w:val="superscript"/>
              </w:rPr>
              <w:t xml:space="preserve"> </w:t>
            </w:r>
            <w:proofErr w:type="gramStart"/>
            <w:r w:rsidRPr="00CE2C6C">
              <w:rPr>
                <w:rFonts w:ascii="Times New Roman" w:hAnsi="Times New Roman" w:cs="Times New Roman"/>
                <w:vertAlign w:val="superscript"/>
              </w:rPr>
              <w:t>G,H</w:t>
            </w:r>
            <w:proofErr w:type="gramEnd"/>
            <w:r w:rsidRPr="00CE2C6C">
              <w:rPr>
                <w:rFonts w:ascii="Times New Roman" w:hAnsi="Times New Roman" w:cs="Times New Roman"/>
                <w:vertAlign w:val="superscript"/>
              </w:rPr>
              <w:t>,5</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3</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GUID250</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6</w:t>
            </w:r>
            <w:r w:rsidRPr="00CE2C6C">
              <w:rPr>
                <w:rFonts w:ascii="Times New Roman" w:hAnsi="Times New Roman" w:cs="Times New Roman"/>
                <w:vertAlign w:val="superscript"/>
              </w:rPr>
              <w:t>th</w:t>
            </w:r>
            <w:r w:rsidRPr="00CE2C6C">
              <w:rPr>
                <w:rFonts w:ascii="Times New Roman" w:hAnsi="Times New Roman" w:cs="Times New Roman"/>
              </w:rPr>
              <w:t xml:space="preserve"> course</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This course should be moved to the Summer term, if student’s work/study load suggests &lt;15 credits would more likely lead to success.</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This could be a course necessary for sequencing in a Concentration or in a major other than Guided Studies.</w:t>
            </w:r>
          </w:p>
          <w:p w:rsidR="00DE6426" w:rsidRPr="00CE2C6C" w:rsidRDefault="00DE6426" w:rsidP="00DE6426">
            <w:pPr>
              <w:widowControl/>
              <w:numPr>
                <w:ilvl w:val="0"/>
                <w:numId w:val="4"/>
              </w:numPr>
              <w:autoSpaceDE/>
              <w:autoSpaceDN/>
              <w:adjustRightInd/>
              <w:rPr>
                <w:rFonts w:ascii="Times New Roman" w:hAnsi="Times New Roman" w:cs="Times New Roman"/>
              </w:rPr>
            </w:pPr>
            <w:r w:rsidRPr="00CE2C6C">
              <w:rPr>
                <w:rFonts w:ascii="Times New Roman" w:hAnsi="Times New Roman" w:cs="Times New Roman"/>
              </w:rPr>
              <w:t xml:space="preserve">Otherwise, the student should take a) a Concentration Elective which will likely help the student choose a (2- or 4-year major); b) a General Education course; or c) a course which will help the student complete Concentration A or Concentration B; OR d) if the 2 Concentrations and Gen Ed program are on target for completion next semester, then this </w:t>
            </w:r>
            <w:r w:rsidRPr="00CE2C6C">
              <w:rPr>
                <w:rFonts w:ascii="Times New Roman" w:hAnsi="Times New Roman" w:cs="Times New Roman"/>
              </w:rPr>
              <w:lastRenderedPageBreak/>
              <w:t>slot can be used to make progress on a certificate OR for a free elective.</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lastRenderedPageBreak/>
              <w:t>3</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TOTAL</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16-18</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**IN THE SECOND ½ OF THIS SEMESTER</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t xml:space="preserve">As part of the GUID250 course, students discuss major/concentration changes with their advisors. </w:t>
            </w:r>
            <w:proofErr w:type="gramStart"/>
            <w:r w:rsidRPr="00CE2C6C">
              <w:rPr>
                <w:rFonts w:ascii="Times New Roman" w:hAnsi="Times New Roman" w:cs="Times New Roman"/>
              </w:rPr>
              <w:t>In particular, the</w:t>
            </w:r>
            <w:proofErr w:type="gramEnd"/>
            <w:r w:rsidRPr="00CE2C6C">
              <w:rPr>
                <w:rFonts w:ascii="Times New Roman" w:hAnsi="Times New Roman" w:cs="Times New Roman"/>
              </w:rPr>
              <w:t xml:space="preserve"> student and advisor should examine progress within the Concentrations and developing student interests to see if the student’s best option is to a) complete the Guided Studies program for an AA degree, b) switch to another major and take longer than 2 years to complete a 2-year degree, or c) transfer to a particular 4-year program without completing a 2-year degree. This decision will drive the 4</w:t>
            </w:r>
            <w:r w:rsidRPr="00CE2C6C">
              <w:rPr>
                <w:rFonts w:ascii="Times New Roman" w:hAnsi="Times New Roman" w:cs="Times New Roman"/>
                <w:vertAlign w:val="superscript"/>
              </w:rPr>
              <w:t>th</w:t>
            </w:r>
            <w:r w:rsidRPr="00CE2C6C">
              <w:rPr>
                <w:rFonts w:ascii="Times New Roman" w:hAnsi="Times New Roman" w:cs="Times New Roman"/>
              </w:rPr>
              <w:t xml:space="preserve"> semester registration decisions, including requirements at a transfer school, as well as application processes to be completed during the last semester.</w:t>
            </w:r>
          </w:p>
          <w:p w:rsidR="00DE6426" w:rsidRPr="00CE2C6C" w:rsidRDefault="00DE6426" w:rsidP="00DE6426">
            <w:pPr>
              <w:widowControl/>
              <w:numPr>
                <w:ilvl w:val="0"/>
                <w:numId w:val="1"/>
              </w:numPr>
              <w:autoSpaceDE/>
              <w:autoSpaceDN/>
              <w:adjustRightInd/>
              <w:rPr>
                <w:rFonts w:ascii="Times New Roman" w:hAnsi="Times New Roman" w:cs="Times New Roman"/>
              </w:rPr>
            </w:pPr>
            <w:r w:rsidRPr="00CE2C6C">
              <w:rPr>
                <w:rFonts w:ascii="Times New Roman" w:hAnsi="Times New Roman" w:cs="Times New Roman"/>
              </w:rPr>
              <w:t>As part of the GUID250 course, students who plan to graduate with a Guided Studies degree should, with the advisor, take stock of which courses the student still needs to take to complete at least 2 Concentrations, the General Education program, and other graduation requirements, and fully plan the Winter (if necessary), Spring, and Summer term (as appropriate) registration.</w:t>
            </w:r>
          </w:p>
          <w:p w:rsidR="00DE6426" w:rsidRPr="00CE2C6C" w:rsidRDefault="00DE6426" w:rsidP="00DE6426">
            <w:pPr>
              <w:pStyle w:val="ListParagraph"/>
              <w:numPr>
                <w:ilvl w:val="0"/>
                <w:numId w:val="1"/>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Visit Transfer and/or Career Services as appropriate.</w:t>
            </w:r>
          </w:p>
          <w:p w:rsidR="00DE6426" w:rsidRPr="00CE2C6C" w:rsidRDefault="00DE6426" w:rsidP="00DE6426">
            <w:pPr>
              <w:pStyle w:val="ListParagraph"/>
              <w:numPr>
                <w:ilvl w:val="0"/>
                <w:numId w:val="1"/>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Complete transfer applications as appropriate.</w:t>
            </w:r>
          </w:p>
        </w:tc>
        <w:tc>
          <w:tcPr>
            <w:tcW w:w="1525" w:type="dxa"/>
          </w:tcPr>
          <w:p w:rsidR="00DE6426" w:rsidRPr="00CE2C6C" w:rsidRDefault="00DE6426" w:rsidP="00D62416">
            <w:pPr>
              <w:jc w:val="center"/>
              <w:rPr>
                <w:rFonts w:ascii="Times New Roman" w:hAnsi="Times New Roman" w:cs="Times New Roman"/>
              </w:rPr>
            </w:pP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2</w:t>
            </w:r>
            <w:r w:rsidRPr="00CE2C6C">
              <w:rPr>
                <w:rFonts w:ascii="Times New Roman" w:hAnsi="Times New Roman" w:cs="Times New Roman"/>
                <w:vertAlign w:val="superscript"/>
              </w:rPr>
              <w:t>ND</w:t>
            </w:r>
            <w:r w:rsidRPr="00CE2C6C">
              <w:rPr>
                <w:rFonts w:ascii="Times New Roman" w:hAnsi="Times New Roman" w:cs="Times New Roman"/>
              </w:rPr>
              <w:t xml:space="preserve"> WINTER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This term should be used to complete transfer applications, begin job research, and/or work on resume/portfolio development.</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0</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**If necessary, student can take one course to catch up after a developmental sequence, complete 30 credits in one year, retake a course to replace a grade, or ensure a Spring graduation.</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w:t>
            </w: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2</w:t>
            </w:r>
            <w:r w:rsidRPr="00CE2C6C">
              <w:rPr>
                <w:rFonts w:ascii="Times New Roman" w:hAnsi="Times New Roman" w:cs="Times New Roman"/>
                <w:vertAlign w:val="superscript"/>
              </w:rPr>
              <w:t>ND</w:t>
            </w:r>
            <w:r w:rsidRPr="00CE2C6C">
              <w:rPr>
                <w:rFonts w:ascii="Times New Roman" w:hAnsi="Times New Roman" w:cs="Times New Roman"/>
              </w:rPr>
              <w:t xml:space="preserve"> SPRING BREAK</w:t>
            </w:r>
          </w:p>
        </w:tc>
        <w:tc>
          <w:tcPr>
            <w:tcW w:w="1525" w:type="dxa"/>
          </w:tcPr>
          <w:p w:rsidR="00DE6426" w:rsidRPr="00CE2C6C" w:rsidRDefault="00DE6426" w:rsidP="00D62416">
            <w:pPr>
              <w:rPr>
                <w:rFonts w:ascii="Times New Roman" w:hAnsi="Times New Roman" w:cs="Times New Roman"/>
              </w:rPr>
            </w:pP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Students intending to transfer complete any outstanding transfer applications and visit transfer schools as needed.</w:t>
            </w:r>
          </w:p>
        </w:tc>
        <w:tc>
          <w:tcPr>
            <w:tcW w:w="1525" w:type="dxa"/>
          </w:tcPr>
          <w:p w:rsidR="00DE6426" w:rsidRPr="00CE2C6C" w:rsidRDefault="00DE6426" w:rsidP="00D62416">
            <w:pPr>
              <w:rPr>
                <w:rFonts w:ascii="Times New Roman" w:hAnsi="Times New Roman" w:cs="Times New Roman"/>
              </w:rPr>
            </w:pP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SEMESTER 4</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Student completes 2 Concentrations.</w:t>
            </w:r>
          </w:p>
        </w:tc>
        <w:tc>
          <w:tcPr>
            <w:tcW w:w="1525" w:type="dxa"/>
          </w:tcPr>
          <w:p w:rsidR="00DE6426" w:rsidRPr="00CE2C6C" w:rsidRDefault="00DE6426" w:rsidP="00D62416">
            <w:pPr>
              <w:jc w:val="center"/>
              <w:rPr>
                <w:rFonts w:ascii="Times New Roman" w:hAnsi="Times New Roman" w:cs="Times New Roman"/>
              </w:rPr>
            </w:pP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Student completes General Education program.</w:t>
            </w:r>
          </w:p>
        </w:tc>
        <w:tc>
          <w:tcPr>
            <w:tcW w:w="1525" w:type="dxa"/>
          </w:tcPr>
          <w:p w:rsidR="00DE6426" w:rsidRPr="00CE2C6C" w:rsidRDefault="00DE6426" w:rsidP="00D62416">
            <w:pPr>
              <w:jc w:val="center"/>
              <w:rPr>
                <w:rFonts w:ascii="Times New Roman" w:hAnsi="Times New Roman" w:cs="Times New Roman"/>
              </w:rPr>
            </w:pP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Student takes remainder of courses to complete graduation credit requirements.</w:t>
            </w:r>
          </w:p>
        </w:tc>
        <w:tc>
          <w:tcPr>
            <w:tcW w:w="1525" w:type="dxa"/>
          </w:tcPr>
          <w:p w:rsidR="00DE6426" w:rsidRPr="00CE2C6C" w:rsidRDefault="00DE6426" w:rsidP="00D62416">
            <w:pPr>
              <w:jc w:val="center"/>
              <w:rPr>
                <w:rFonts w:ascii="Times New Roman" w:hAnsi="Times New Roman" w:cs="Times New Roman"/>
              </w:rPr>
            </w:pP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TOTAL</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15-19</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**IN THE SECOND ½ OF THIS SEMESTER</w:t>
            </w:r>
          </w:p>
          <w:p w:rsidR="00DE6426" w:rsidRPr="00CE2C6C" w:rsidRDefault="00DE6426" w:rsidP="00DE6426">
            <w:pPr>
              <w:pStyle w:val="ListParagraph"/>
              <w:numPr>
                <w:ilvl w:val="0"/>
                <w:numId w:val="2"/>
              </w:numPr>
              <w:spacing w:after="0" w:line="240" w:lineRule="auto"/>
              <w:rPr>
                <w:rFonts w:ascii="Times New Roman" w:hAnsi="Times New Roman" w:cs="Times New Roman"/>
                <w:sz w:val="24"/>
                <w:szCs w:val="24"/>
              </w:rPr>
            </w:pPr>
            <w:r w:rsidRPr="00CE2C6C">
              <w:rPr>
                <w:rFonts w:ascii="Times New Roman" w:hAnsi="Times New Roman" w:cs="Times New Roman"/>
                <w:sz w:val="24"/>
                <w:szCs w:val="24"/>
              </w:rPr>
              <w:t xml:space="preserve">Student meets with advisor to stake stock and </w:t>
            </w:r>
            <w:proofErr w:type="gramStart"/>
            <w:r w:rsidRPr="00CE2C6C">
              <w:rPr>
                <w:rFonts w:ascii="Times New Roman" w:hAnsi="Times New Roman" w:cs="Times New Roman"/>
                <w:sz w:val="24"/>
                <w:szCs w:val="24"/>
              </w:rPr>
              <w:t>make a Plan</w:t>
            </w:r>
            <w:proofErr w:type="gramEnd"/>
            <w:r w:rsidRPr="00CE2C6C">
              <w:rPr>
                <w:rFonts w:ascii="Times New Roman" w:hAnsi="Times New Roman" w:cs="Times New Roman"/>
                <w:sz w:val="24"/>
                <w:szCs w:val="24"/>
              </w:rPr>
              <w:t xml:space="preserve"> B, if graduation by the end of Spring or Summer is uncertain.</w:t>
            </w:r>
          </w:p>
        </w:tc>
        <w:tc>
          <w:tcPr>
            <w:tcW w:w="1525" w:type="dxa"/>
          </w:tcPr>
          <w:p w:rsidR="00DE6426" w:rsidRPr="00CE2C6C" w:rsidRDefault="00DE6426" w:rsidP="00D62416">
            <w:pPr>
              <w:jc w:val="center"/>
              <w:rPr>
                <w:rFonts w:ascii="Times New Roman" w:hAnsi="Times New Roman" w:cs="Times New Roman"/>
              </w:rPr>
            </w:pPr>
          </w:p>
        </w:tc>
      </w:tr>
    </w:tbl>
    <w:p w:rsidR="00DE6426" w:rsidRPr="00CE2C6C" w:rsidRDefault="00DE6426" w:rsidP="00DE6426"/>
    <w:tbl>
      <w:tblPr>
        <w:tblStyle w:val="TableGrid"/>
        <w:tblW w:w="0" w:type="auto"/>
        <w:tblLook w:val="04A0" w:firstRow="1" w:lastRow="0" w:firstColumn="1" w:lastColumn="0" w:noHBand="0" w:noVBand="1"/>
      </w:tblPr>
      <w:tblGrid>
        <w:gridCol w:w="7825"/>
        <w:gridCol w:w="1525"/>
      </w:tblGrid>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t>2</w:t>
            </w:r>
            <w:r w:rsidRPr="00CE2C6C">
              <w:rPr>
                <w:rFonts w:ascii="Times New Roman" w:hAnsi="Times New Roman" w:cs="Times New Roman"/>
                <w:vertAlign w:val="superscript"/>
              </w:rPr>
              <w:t>ND</w:t>
            </w:r>
            <w:r w:rsidRPr="00CE2C6C">
              <w:rPr>
                <w:rFonts w:ascii="Times New Roman" w:hAnsi="Times New Roman" w:cs="Times New Roman"/>
              </w:rPr>
              <w:t xml:space="preserve"> SUMMER</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CREDITS</w:t>
            </w:r>
          </w:p>
        </w:tc>
      </w:tr>
      <w:tr w:rsidR="00DE6426" w:rsidRPr="00CE2C6C" w:rsidTr="00D62416">
        <w:tc>
          <w:tcPr>
            <w:tcW w:w="7825" w:type="dxa"/>
          </w:tcPr>
          <w:p w:rsidR="00DE6426" w:rsidRPr="00CE2C6C" w:rsidRDefault="00DE6426" w:rsidP="00D62416">
            <w:pPr>
              <w:rPr>
                <w:rFonts w:ascii="Times New Roman" w:hAnsi="Times New Roman" w:cs="Times New Roman"/>
              </w:rPr>
            </w:pPr>
            <w:r w:rsidRPr="00CE2C6C">
              <w:rPr>
                <w:rFonts w:ascii="Times New Roman" w:hAnsi="Times New Roman" w:cs="Times New Roman"/>
              </w:rPr>
              <w:lastRenderedPageBreak/>
              <w:t>Student completes Guided Studies degree, if not completed already.</w:t>
            </w:r>
          </w:p>
        </w:tc>
        <w:tc>
          <w:tcPr>
            <w:tcW w:w="1525" w:type="dxa"/>
          </w:tcPr>
          <w:p w:rsidR="00DE6426" w:rsidRPr="00CE2C6C" w:rsidRDefault="00DE6426" w:rsidP="00D62416">
            <w:pPr>
              <w:jc w:val="center"/>
              <w:rPr>
                <w:rFonts w:ascii="Times New Roman" w:hAnsi="Times New Roman" w:cs="Times New Roman"/>
              </w:rPr>
            </w:pPr>
            <w:r w:rsidRPr="00CE2C6C">
              <w:rPr>
                <w:rFonts w:ascii="Times New Roman" w:hAnsi="Times New Roman" w:cs="Times New Roman"/>
              </w:rPr>
              <w:t>0-8</w:t>
            </w:r>
          </w:p>
        </w:tc>
      </w:tr>
    </w:tbl>
    <w:p w:rsidR="006A031C" w:rsidRPr="00CE2C6C" w:rsidRDefault="006A031C"/>
    <w:sectPr w:rsidR="006A031C" w:rsidRPr="00CE2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67B"/>
    <w:multiLevelType w:val="hybridMultilevel"/>
    <w:tmpl w:val="DEAE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7959"/>
    <w:multiLevelType w:val="hybridMultilevel"/>
    <w:tmpl w:val="5E62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6EF8"/>
    <w:multiLevelType w:val="hybridMultilevel"/>
    <w:tmpl w:val="C536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F4305"/>
    <w:multiLevelType w:val="hybridMultilevel"/>
    <w:tmpl w:val="F5D8F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76644"/>
    <w:multiLevelType w:val="hybridMultilevel"/>
    <w:tmpl w:val="037A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D38A8"/>
    <w:multiLevelType w:val="hybridMultilevel"/>
    <w:tmpl w:val="078C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17236"/>
    <w:multiLevelType w:val="hybridMultilevel"/>
    <w:tmpl w:val="B696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26"/>
    <w:rsid w:val="001937FB"/>
    <w:rsid w:val="006A031C"/>
    <w:rsid w:val="00A24AFB"/>
    <w:rsid w:val="00CE2C6C"/>
    <w:rsid w:val="00DE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FAD"/>
  <w15:chartTrackingRefBased/>
  <w15:docId w15:val="{0E761EDE-36BF-40F8-860D-4B461EBC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426"/>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426"/>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E6426"/>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Groth</dc:creator>
  <cp:keywords/>
  <dc:description/>
  <cp:lastModifiedBy>Charlie Groth</cp:lastModifiedBy>
  <cp:revision>4</cp:revision>
  <dcterms:created xsi:type="dcterms:W3CDTF">2018-05-09T19:08:00Z</dcterms:created>
  <dcterms:modified xsi:type="dcterms:W3CDTF">2018-05-09T19:13:00Z</dcterms:modified>
</cp:coreProperties>
</file>